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5C94" w:rsidRPr="00875C94" w:rsidRDefault="00875C94" w:rsidP="00875C94">
      <w:pPr>
        <w:shd w:val="clear" w:color="auto" w:fill="FFFFFF"/>
        <w:spacing w:after="158" w:line="386" w:lineRule="atLeast"/>
        <w:jc w:val="both"/>
        <w:rPr>
          <w:rFonts w:ascii="Georgia" w:eastAsia="Times New Roman" w:hAnsi="Georgia" w:cs="Times New Roman"/>
          <w:b/>
          <w:bCs/>
          <w:color w:val="000000"/>
          <w:sz w:val="26"/>
          <w:szCs w:val="26"/>
        </w:rPr>
      </w:pPr>
      <w:r w:rsidRPr="00875C94">
        <w:rPr>
          <w:rFonts w:ascii="Georgia" w:eastAsia="Times New Roman" w:hAnsi="Georgia" w:cs="Times New Roman"/>
          <w:b/>
          <w:bCs/>
          <w:color w:val="000000"/>
          <w:sz w:val="26"/>
          <w:szCs w:val="26"/>
        </w:rPr>
        <w:t>Delhi Chit Fund Association vs Union Of India &amp; Anr on 23 April, 2013</w:t>
      </w:r>
    </w:p>
    <w:p w:rsidR="00875C94" w:rsidRPr="00875C94" w:rsidRDefault="00875C94" w:rsidP="00875C94">
      <w:pPr>
        <w:shd w:val="clear" w:color="auto" w:fill="FFFFFF"/>
        <w:spacing w:before="100" w:beforeAutospacing="1" w:after="100" w:afterAutospacing="1" w:line="386" w:lineRule="atLeast"/>
        <w:jc w:val="both"/>
        <w:rPr>
          <w:rFonts w:ascii="Georgia" w:eastAsia="Times New Roman" w:hAnsi="Georgia" w:cs="Times New Roman"/>
          <w:color w:val="000000"/>
          <w:sz w:val="25"/>
          <w:szCs w:val="25"/>
        </w:rPr>
      </w:pPr>
      <w:r w:rsidRPr="00875C94">
        <w:rPr>
          <w:rFonts w:ascii="Georgia" w:eastAsia="Times New Roman" w:hAnsi="Georgia" w:cs="Times New Roman"/>
          <w:color w:val="000000"/>
          <w:sz w:val="25"/>
          <w:szCs w:val="25"/>
        </w:rPr>
        <w:t>THE HIGH COURT OF DELHI AT NEW DELHI</w:t>
      </w:r>
    </w:p>
    <w:p w:rsidR="00875C94" w:rsidRPr="00875C94" w:rsidRDefault="00875C94" w:rsidP="00875C94">
      <w:pPr>
        <w:shd w:val="clear" w:color="auto" w:fill="FFFFFF"/>
        <w:spacing w:before="100" w:beforeAutospacing="1" w:after="100" w:afterAutospacing="1" w:line="386" w:lineRule="atLeast"/>
        <w:jc w:val="both"/>
        <w:rPr>
          <w:rFonts w:ascii="Georgia" w:eastAsia="Times New Roman" w:hAnsi="Georgia" w:cs="Times New Roman"/>
          <w:color w:val="000000"/>
          <w:sz w:val="25"/>
          <w:szCs w:val="25"/>
        </w:rPr>
      </w:pPr>
      <w:r w:rsidRPr="00875C94">
        <w:rPr>
          <w:rFonts w:ascii="Georgia" w:eastAsia="Times New Roman" w:hAnsi="Georgia" w:cs="Times New Roman"/>
          <w:color w:val="000000"/>
          <w:sz w:val="25"/>
          <w:szCs w:val="25"/>
        </w:rPr>
        <w:t>% Judgment delivered on: 23.04.2013 + W.P. (C) 4512/2012</w:t>
      </w:r>
    </w:p>
    <w:p w:rsidR="00875C94" w:rsidRPr="00875C94" w:rsidRDefault="00875C94" w:rsidP="004C0480">
      <w:pPr>
        <w:shd w:val="clear" w:color="auto" w:fill="FFFFFF"/>
        <w:spacing w:before="100" w:beforeAutospacing="1" w:after="100" w:afterAutospacing="1" w:line="386" w:lineRule="atLeast"/>
        <w:jc w:val="both"/>
        <w:rPr>
          <w:rFonts w:ascii="Georgia" w:eastAsia="Times New Roman" w:hAnsi="Georgia" w:cs="Times New Roman"/>
          <w:color w:val="000000"/>
          <w:sz w:val="25"/>
          <w:szCs w:val="25"/>
        </w:rPr>
      </w:pPr>
      <w:r w:rsidRPr="00875C94">
        <w:rPr>
          <w:rFonts w:ascii="Georgia" w:eastAsia="Times New Roman" w:hAnsi="Georgia" w:cs="Times New Roman"/>
          <w:color w:val="000000"/>
          <w:sz w:val="25"/>
          <w:szCs w:val="25"/>
        </w:rPr>
        <w:t>DELHI CHIT FUND ASSOCIATION .......Petitioner versus</w:t>
      </w:r>
      <w:r w:rsidR="004C0480">
        <w:rPr>
          <w:rFonts w:ascii="Georgia" w:eastAsia="Times New Roman" w:hAnsi="Georgia" w:cs="Times New Roman"/>
          <w:color w:val="000000"/>
          <w:sz w:val="25"/>
          <w:szCs w:val="25"/>
        </w:rPr>
        <w:t xml:space="preserve"> </w:t>
      </w:r>
      <w:r w:rsidRPr="00875C94">
        <w:rPr>
          <w:rFonts w:ascii="Georgia" w:eastAsia="Times New Roman" w:hAnsi="Georgia" w:cs="Times New Roman"/>
          <w:color w:val="000000"/>
          <w:sz w:val="25"/>
          <w:szCs w:val="25"/>
        </w:rPr>
        <w:t>UNION OF INDIA &amp; ANR. .......Respondents Advocates who appeared in this case:</w:t>
      </w:r>
    </w:p>
    <w:p w:rsidR="00875C94" w:rsidRPr="00875C94" w:rsidRDefault="00875C94" w:rsidP="00875C94">
      <w:pPr>
        <w:shd w:val="clear" w:color="auto" w:fill="FFFFFF"/>
        <w:spacing w:before="100" w:beforeAutospacing="1" w:after="100" w:afterAutospacing="1" w:line="386" w:lineRule="atLeast"/>
        <w:jc w:val="both"/>
        <w:rPr>
          <w:rFonts w:ascii="Georgia" w:eastAsia="Times New Roman" w:hAnsi="Georgia" w:cs="Times New Roman"/>
          <w:color w:val="000000"/>
          <w:sz w:val="25"/>
          <w:szCs w:val="25"/>
        </w:rPr>
      </w:pPr>
      <w:r w:rsidRPr="00875C94">
        <w:rPr>
          <w:rFonts w:ascii="Georgia" w:eastAsia="Times New Roman" w:hAnsi="Georgia" w:cs="Times New Roman"/>
          <w:color w:val="000000"/>
          <w:sz w:val="25"/>
          <w:szCs w:val="25"/>
        </w:rPr>
        <w:t>For the Petitioner : Mr Venkatraman, Sr. Adv. with Mr Ravi Sikri, Mr Hari Shankar, Mr Ayush Kumar, Advocates.</w:t>
      </w:r>
    </w:p>
    <w:p w:rsidR="00875C94" w:rsidRPr="00875C94" w:rsidRDefault="00875C94" w:rsidP="00875C94">
      <w:pPr>
        <w:shd w:val="clear" w:color="auto" w:fill="FFFFFF"/>
        <w:spacing w:before="100" w:beforeAutospacing="1" w:after="100" w:afterAutospacing="1" w:line="386" w:lineRule="atLeast"/>
        <w:jc w:val="both"/>
        <w:rPr>
          <w:rFonts w:ascii="Georgia" w:eastAsia="Times New Roman" w:hAnsi="Georgia" w:cs="Times New Roman"/>
          <w:color w:val="000000"/>
          <w:sz w:val="25"/>
          <w:szCs w:val="25"/>
        </w:rPr>
      </w:pPr>
      <w:r w:rsidRPr="00875C94">
        <w:rPr>
          <w:rFonts w:ascii="Georgia" w:eastAsia="Times New Roman" w:hAnsi="Georgia" w:cs="Times New Roman"/>
          <w:color w:val="000000"/>
          <w:sz w:val="25"/>
          <w:szCs w:val="25"/>
        </w:rPr>
        <w:t>For the Respondent : Mr Rajeeve Mehra, ASG with Mr Mukesh Anand, Mr Aditya Malhotra, Advcoates for R-1.</w:t>
      </w:r>
    </w:p>
    <w:p w:rsidR="00875C94" w:rsidRPr="00875C94" w:rsidRDefault="00875C94" w:rsidP="00875C94">
      <w:pPr>
        <w:shd w:val="clear" w:color="auto" w:fill="FFFFFF"/>
        <w:spacing w:before="100" w:beforeAutospacing="1" w:after="100" w:afterAutospacing="1" w:line="386" w:lineRule="atLeast"/>
        <w:jc w:val="both"/>
        <w:rPr>
          <w:rFonts w:ascii="Georgia" w:eastAsia="Times New Roman" w:hAnsi="Georgia" w:cs="Times New Roman"/>
          <w:color w:val="000000"/>
          <w:sz w:val="25"/>
          <w:szCs w:val="25"/>
        </w:rPr>
      </w:pPr>
      <w:r w:rsidRPr="00875C94">
        <w:rPr>
          <w:rFonts w:ascii="Georgia" w:eastAsia="Times New Roman" w:hAnsi="Georgia" w:cs="Times New Roman"/>
          <w:color w:val="000000"/>
          <w:sz w:val="25"/>
          <w:szCs w:val="25"/>
        </w:rPr>
        <w:t>Mr Kamal Nijhawan, Sr. Standing Counsel for R-2. CORAM:-</w:t>
      </w:r>
    </w:p>
    <w:p w:rsidR="00875C94" w:rsidRPr="00875C94" w:rsidRDefault="00875C94" w:rsidP="00875C94">
      <w:pPr>
        <w:shd w:val="clear" w:color="auto" w:fill="FFFFFF"/>
        <w:spacing w:before="100" w:beforeAutospacing="1" w:after="100" w:afterAutospacing="1" w:line="386" w:lineRule="atLeast"/>
        <w:jc w:val="both"/>
        <w:rPr>
          <w:rFonts w:ascii="Georgia" w:eastAsia="Times New Roman" w:hAnsi="Georgia" w:cs="Times New Roman"/>
          <w:color w:val="000000"/>
          <w:sz w:val="25"/>
          <w:szCs w:val="25"/>
        </w:rPr>
      </w:pPr>
      <w:r w:rsidRPr="00875C94">
        <w:rPr>
          <w:rFonts w:ascii="Georgia" w:eastAsia="Times New Roman" w:hAnsi="Georgia" w:cs="Times New Roman"/>
          <w:color w:val="000000"/>
          <w:sz w:val="25"/>
          <w:szCs w:val="25"/>
        </w:rPr>
        <w:t>HON'BLE MR JUSTICE BADAR DURREZ AHMED</w:t>
      </w:r>
    </w:p>
    <w:p w:rsidR="00875C94" w:rsidRPr="00875C94" w:rsidRDefault="00875C94" w:rsidP="00875C94">
      <w:pPr>
        <w:shd w:val="clear" w:color="auto" w:fill="FFFFFF"/>
        <w:spacing w:before="100" w:beforeAutospacing="1" w:after="100" w:afterAutospacing="1" w:line="386" w:lineRule="atLeast"/>
        <w:jc w:val="both"/>
        <w:rPr>
          <w:rFonts w:ascii="Georgia" w:eastAsia="Times New Roman" w:hAnsi="Georgia" w:cs="Times New Roman"/>
          <w:color w:val="000000"/>
          <w:sz w:val="25"/>
          <w:szCs w:val="25"/>
        </w:rPr>
      </w:pPr>
      <w:r w:rsidRPr="00875C94">
        <w:rPr>
          <w:rFonts w:ascii="Georgia" w:eastAsia="Times New Roman" w:hAnsi="Georgia" w:cs="Times New Roman"/>
          <w:color w:val="000000"/>
          <w:sz w:val="25"/>
          <w:szCs w:val="25"/>
        </w:rPr>
        <w:t>HON'BLE MR JUSTICE R.V.EASWAR</w:t>
      </w:r>
    </w:p>
    <w:p w:rsidR="00875C94" w:rsidRPr="00875C94" w:rsidRDefault="00875C94" w:rsidP="00875C94">
      <w:pPr>
        <w:shd w:val="clear" w:color="auto" w:fill="FFFFFF"/>
        <w:spacing w:before="100" w:beforeAutospacing="1" w:after="100" w:afterAutospacing="1" w:line="386" w:lineRule="atLeast"/>
        <w:jc w:val="both"/>
        <w:rPr>
          <w:rFonts w:ascii="Georgia" w:eastAsia="Times New Roman" w:hAnsi="Georgia" w:cs="Times New Roman"/>
          <w:color w:val="000000"/>
          <w:sz w:val="25"/>
          <w:szCs w:val="25"/>
        </w:rPr>
      </w:pPr>
      <w:r w:rsidRPr="00875C94">
        <w:rPr>
          <w:rFonts w:ascii="Georgia" w:eastAsia="Times New Roman" w:hAnsi="Georgia" w:cs="Times New Roman"/>
          <w:color w:val="000000"/>
          <w:sz w:val="25"/>
          <w:szCs w:val="25"/>
        </w:rPr>
        <w:t>JUDGMENT</w:t>
      </w:r>
    </w:p>
    <w:p w:rsidR="00875C94" w:rsidRPr="00875C94" w:rsidRDefault="00875C94" w:rsidP="00875C94">
      <w:pPr>
        <w:shd w:val="clear" w:color="auto" w:fill="FFFFFF"/>
        <w:spacing w:before="100" w:beforeAutospacing="1" w:after="100" w:afterAutospacing="1" w:line="386" w:lineRule="atLeast"/>
        <w:jc w:val="both"/>
        <w:rPr>
          <w:rFonts w:ascii="Georgia" w:eastAsia="Times New Roman" w:hAnsi="Georgia" w:cs="Times New Roman"/>
          <w:color w:val="000000"/>
          <w:sz w:val="25"/>
          <w:szCs w:val="25"/>
        </w:rPr>
      </w:pPr>
      <w:r w:rsidRPr="00875C94">
        <w:rPr>
          <w:rFonts w:ascii="Georgia" w:eastAsia="Times New Roman" w:hAnsi="Georgia" w:cs="Times New Roman"/>
          <w:color w:val="000000"/>
          <w:sz w:val="25"/>
          <w:szCs w:val="25"/>
        </w:rPr>
        <w:t>R.V.EASWAR, J</w:t>
      </w:r>
    </w:p>
    <w:p w:rsidR="00875C94" w:rsidRPr="00875C94" w:rsidRDefault="00875C94" w:rsidP="00875C94">
      <w:pPr>
        <w:shd w:val="clear" w:color="auto" w:fill="FFFFFF"/>
        <w:spacing w:before="100" w:beforeAutospacing="1" w:after="100" w:afterAutospacing="1" w:line="386" w:lineRule="atLeast"/>
        <w:jc w:val="both"/>
        <w:rPr>
          <w:rFonts w:ascii="Georgia" w:eastAsia="Times New Roman" w:hAnsi="Georgia" w:cs="Times New Roman"/>
          <w:color w:val="000000"/>
          <w:sz w:val="25"/>
          <w:szCs w:val="25"/>
        </w:rPr>
      </w:pPr>
      <w:r w:rsidRPr="00875C94">
        <w:rPr>
          <w:rFonts w:ascii="Georgia" w:eastAsia="Times New Roman" w:hAnsi="Georgia" w:cs="Times New Roman"/>
          <w:color w:val="000000"/>
          <w:sz w:val="25"/>
          <w:szCs w:val="25"/>
        </w:rPr>
        <w:t>1. The short question which arises in this writ petition is whether the provision of services in relation to conducting a chit business is a taxable service for the purposes of section 65B(44) of the Finance Act, 1994 inserted w. e. f. 1st July, 2012.</w:t>
      </w:r>
    </w:p>
    <w:p w:rsidR="00875C94" w:rsidRPr="00875C94" w:rsidRDefault="00875C94" w:rsidP="00875C94">
      <w:pPr>
        <w:shd w:val="clear" w:color="auto" w:fill="FFFFFF"/>
        <w:spacing w:before="100" w:beforeAutospacing="1" w:after="100" w:afterAutospacing="1" w:line="386" w:lineRule="atLeast"/>
        <w:jc w:val="both"/>
        <w:rPr>
          <w:rFonts w:ascii="Georgia" w:eastAsia="Times New Roman" w:hAnsi="Georgia" w:cs="Times New Roman"/>
          <w:color w:val="000000"/>
          <w:sz w:val="25"/>
          <w:szCs w:val="25"/>
        </w:rPr>
      </w:pPr>
      <w:r w:rsidRPr="00875C94">
        <w:rPr>
          <w:rFonts w:ascii="Georgia" w:eastAsia="Times New Roman" w:hAnsi="Georgia" w:cs="Times New Roman"/>
          <w:color w:val="000000"/>
          <w:sz w:val="25"/>
          <w:szCs w:val="25"/>
        </w:rPr>
        <w:t>2. The petitioner is an association of chit fund companies based in Delhi. By a notification No.26/2012 issued on 20 th June, 2012, the Department of Revenue, Ministry of Finance of the Government of India W.P. (C) 4512/2012 Page 1 of 19 exempted: -</w:t>
      </w:r>
    </w:p>
    <w:p w:rsidR="00875C94" w:rsidRPr="00875C94" w:rsidRDefault="00875C94" w:rsidP="00875C94">
      <w:pPr>
        <w:shd w:val="clear" w:color="auto" w:fill="FFFFFF"/>
        <w:spacing w:before="100" w:beforeAutospacing="1" w:after="100" w:afterAutospacing="1" w:line="386" w:lineRule="atLeast"/>
        <w:jc w:val="both"/>
        <w:rPr>
          <w:rFonts w:ascii="Georgia" w:eastAsia="Times New Roman" w:hAnsi="Georgia" w:cs="Times New Roman"/>
          <w:color w:val="000000"/>
          <w:sz w:val="25"/>
          <w:szCs w:val="25"/>
        </w:rPr>
      </w:pPr>
      <w:r w:rsidRPr="00875C94">
        <w:rPr>
          <w:rFonts w:ascii="Georgia" w:eastAsia="Times New Roman" w:hAnsi="Georgia" w:cs="Times New Roman"/>
          <w:color w:val="000000"/>
          <w:sz w:val="25"/>
          <w:szCs w:val="25"/>
        </w:rPr>
        <w:t xml:space="preserve">―the taxable service of the description specified in column (2) of the Table below, from so much of the service tax leviable thereon under section 66B of the said Act, as is in excess of the service tax calculated on a value which is equivalent to a </w:t>
      </w:r>
      <w:r w:rsidRPr="00875C94">
        <w:rPr>
          <w:rFonts w:ascii="Georgia" w:eastAsia="Times New Roman" w:hAnsi="Georgia" w:cs="Times New Roman"/>
          <w:color w:val="000000"/>
          <w:sz w:val="25"/>
          <w:szCs w:val="25"/>
        </w:rPr>
        <w:lastRenderedPageBreak/>
        <w:t>percentage specified in the corresponding entry in column (3) of the said Table, of the amount charged by such service provider for providing the said taxable service, unless specified otherwise, subject to the relevant conditions specified in the corresponding entry in column (4) of the said Table, namely: -</w:t>
      </w:r>
    </w:p>
    <w:p w:rsidR="00875C94" w:rsidRPr="00875C94" w:rsidRDefault="00875C94" w:rsidP="00875C94">
      <w:pPr>
        <w:shd w:val="clear" w:color="auto" w:fill="FFFFFF"/>
        <w:spacing w:before="100" w:beforeAutospacing="1" w:after="100" w:afterAutospacing="1" w:line="386" w:lineRule="atLeast"/>
        <w:jc w:val="both"/>
        <w:rPr>
          <w:rFonts w:ascii="Georgia" w:eastAsia="Times New Roman" w:hAnsi="Georgia" w:cs="Times New Roman"/>
          <w:color w:val="000000"/>
          <w:sz w:val="25"/>
          <w:szCs w:val="25"/>
        </w:rPr>
      </w:pPr>
      <w:r w:rsidRPr="00875C94">
        <w:rPr>
          <w:rFonts w:ascii="Georgia" w:eastAsia="Times New Roman" w:hAnsi="Georgia" w:cs="Times New Roman"/>
          <w:color w:val="000000"/>
          <w:sz w:val="25"/>
          <w:szCs w:val="25"/>
        </w:rPr>
        <w:t>Sl. Description Percent Conditions</w:t>
      </w:r>
    </w:p>
    <w:p w:rsidR="00875C94" w:rsidRPr="00875C94" w:rsidRDefault="00875C94" w:rsidP="00875C94">
      <w:pPr>
        <w:shd w:val="clear" w:color="auto" w:fill="FFFFFF"/>
        <w:spacing w:before="100" w:beforeAutospacing="1" w:after="100" w:afterAutospacing="1" w:line="386" w:lineRule="atLeast"/>
        <w:jc w:val="both"/>
        <w:rPr>
          <w:rFonts w:ascii="Georgia" w:eastAsia="Times New Roman" w:hAnsi="Georgia" w:cs="Times New Roman"/>
          <w:color w:val="000000"/>
          <w:sz w:val="25"/>
          <w:szCs w:val="25"/>
        </w:rPr>
      </w:pPr>
      <w:r w:rsidRPr="00875C94">
        <w:rPr>
          <w:rFonts w:ascii="Georgia" w:eastAsia="Times New Roman" w:hAnsi="Georgia" w:cs="Times New Roman"/>
          <w:color w:val="000000"/>
          <w:sz w:val="25"/>
          <w:szCs w:val="25"/>
        </w:rPr>
        <w:t>No. of taxable age</w:t>
      </w:r>
    </w:p>
    <w:p w:rsidR="00875C94" w:rsidRPr="00875C94" w:rsidRDefault="00875C94" w:rsidP="00875C94">
      <w:pPr>
        <w:shd w:val="clear" w:color="auto" w:fill="FFFFFF"/>
        <w:spacing w:before="100" w:beforeAutospacing="1" w:after="100" w:afterAutospacing="1" w:line="386" w:lineRule="atLeast"/>
        <w:jc w:val="both"/>
        <w:rPr>
          <w:rFonts w:ascii="Georgia" w:eastAsia="Times New Roman" w:hAnsi="Georgia" w:cs="Times New Roman"/>
          <w:color w:val="000000"/>
          <w:sz w:val="25"/>
          <w:szCs w:val="25"/>
        </w:rPr>
      </w:pPr>
      <w:r w:rsidRPr="00875C94">
        <w:rPr>
          <w:rFonts w:ascii="Georgia" w:eastAsia="Times New Roman" w:hAnsi="Georgia" w:cs="Times New Roman"/>
          <w:color w:val="000000"/>
          <w:sz w:val="25"/>
          <w:szCs w:val="25"/>
        </w:rPr>
        <w:t>service</w:t>
      </w:r>
    </w:p>
    <w:p w:rsidR="00875C94" w:rsidRPr="00875C94" w:rsidRDefault="00875C94" w:rsidP="00875C94">
      <w:pPr>
        <w:shd w:val="clear" w:color="auto" w:fill="FFFFFF"/>
        <w:spacing w:before="100" w:beforeAutospacing="1" w:after="100" w:afterAutospacing="1" w:line="386" w:lineRule="atLeast"/>
        <w:jc w:val="both"/>
        <w:rPr>
          <w:rFonts w:ascii="Georgia" w:eastAsia="Times New Roman" w:hAnsi="Georgia" w:cs="Times New Roman"/>
          <w:color w:val="000000"/>
          <w:sz w:val="25"/>
          <w:szCs w:val="25"/>
        </w:rPr>
      </w:pPr>
      <w:r w:rsidRPr="00875C94">
        <w:rPr>
          <w:rFonts w:ascii="Georgia" w:eastAsia="Times New Roman" w:hAnsi="Georgia" w:cs="Times New Roman"/>
          <w:color w:val="000000"/>
          <w:sz w:val="25"/>
          <w:szCs w:val="25"/>
        </w:rPr>
        <w:t>(1) (2) (3) (4) 8 Services 70 CENVAT credit on inputs, provided in capital goods and input relation to services, used for providing chit the taxable service, has not been taken under the</w:t>
      </w:r>
    </w:p>
    <w:p w:rsidR="00875C94" w:rsidRPr="00875C94" w:rsidRDefault="00875C94" w:rsidP="00875C94">
      <w:pPr>
        <w:shd w:val="clear" w:color="auto" w:fill="FFFFFF"/>
        <w:spacing w:before="100" w:beforeAutospacing="1" w:after="100" w:afterAutospacing="1" w:line="386" w:lineRule="atLeast"/>
        <w:jc w:val="both"/>
        <w:rPr>
          <w:rFonts w:ascii="Georgia" w:eastAsia="Times New Roman" w:hAnsi="Georgia" w:cs="Times New Roman"/>
          <w:color w:val="000000"/>
          <w:sz w:val="25"/>
          <w:szCs w:val="25"/>
        </w:rPr>
      </w:pPr>
      <w:r w:rsidRPr="00875C94">
        <w:rPr>
          <w:rFonts w:ascii="Georgia" w:eastAsia="Times New Roman" w:hAnsi="Georgia" w:cs="Times New Roman"/>
          <w:color w:val="000000"/>
          <w:sz w:val="25"/>
          <w:szCs w:val="25"/>
        </w:rPr>
        <w:t>provisions of the CENVAT</w:t>
      </w:r>
    </w:p>
    <w:p w:rsidR="00875C94" w:rsidRPr="00875C94" w:rsidRDefault="00875C94" w:rsidP="00875C94">
      <w:pPr>
        <w:shd w:val="clear" w:color="auto" w:fill="FFFFFF"/>
        <w:spacing w:before="100" w:beforeAutospacing="1" w:after="100" w:afterAutospacing="1" w:line="386" w:lineRule="atLeast"/>
        <w:jc w:val="both"/>
        <w:rPr>
          <w:rFonts w:ascii="Georgia" w:eastAsia="Times New Roman" w:hAnsi="Georgia" w:cs="Times New Roman"/>
          <w:color w:val="000000"/>
          <w:sz w:val="25"/>
          <w:szCs w:val="25"/>
        </w:rPr>
      </w:pPr>
      <w:r w:rsidRPr="00875C94">
        <w:rPr>
          <w:rFonts w:ascii="Georgia" w:eastAsia="Times New Roman" w:hAnsi="Georgia" w:cs="Times New Roman"/>
          <w:color w:val="000000"/>
          <w:sz w:val="25"/>
          <w:szCs w:val="25"/>
        </w:rPr>
        <w:t>Credit Rules, 2004.</w:t>
      </w:r>
    </w:p>
    <w:p w:rsidR="00875C94" w:rsidRPr="00875C94" w:rsidRDefault="00875C94" w:rsidP="00875C94">
      <w:pPr>
        <w:shd w:val="clear" w:color="auto" w:fill="FFFFFF"/>
        <w:spacing w:before="100" w:beforeAutospacing="1" w:after="100" w:afterAutospacing="1" w:line="386" w:lineRule="atLeast"/>
        <w:jc w:val="both"/>
        <w:rPr>
          <w:rFonts w:ascii="Georgia" w:eastAsia="Times New Roman" w:hAnsi="Georgia" w:cs="Times New Roman"/>
          <w:color w:val="000000"/>
          <w:sz w:val="25"/>
          <w:szCs w:val="25"/>
        </w:rPr>
      </w:pPr>
      <w:r w:rsidRPr="00875C94">
        <w:rPr>
          <w:rFonts w:ascii="Georgia" w:eastAsia="Times New Roman" w:hAnsi="Georgia" w:cs="Times New Roman"/>
          <w:color w:val="000000"/>
          <w:sz w:val="25"/>
          <w:szCs w:val="25"/>
        </w:rPr>
        <w:t>3. The petitioner prays that the notification should be quashed in so far as it seeks to subject the activities of a business chit fund companies to service tax to the extent of 70% of the consideration received for the services. The contention of the petitioner is that there is no question of exempting a part of the consideration received for the services in chit fund business when the law provides that such services are not taxable at W.P. (C) 4512/2012 Page 2 of 19 all in the first place.</w:t>
      </w:r>
    </w:p>
    <w:p w:rsidR="00875C94" w:rsidRPr="00875C94" w:rsidRDefault="00875C94" w:rsidP="00875C94">
      <w:pPr>
        <w:shd w:val="clear" w:color="auto" w:fill="FFFFFF"/>
        <w:spacing w:before="100" w:beforeAutospacing="1" w:after="100" w:afterAutospacing="1" w:line="386" w:lineRule="atLeast"/>
        <w:jc w:val="both"/>
        <w:rPr>
          <w:rFonts w:ascii="Georgia" w:eastAsia="Times New Roman" w:hAnsi="Georgia" w:cs="Times New Roman"/>
          <w:color w:val="000000"/>
          <w:sz w:val="25"/>
          <w:szCs w:val="25"/>
        </w:rPr>
      </w:pPr>
      <w:r w:rsidRPr="00875C94">
        <w:rPr>
          <w:rFonts w:ascii="Georgia" w:eastAsia="Times New Roman" w:hAnsi="Georgia" w:cs="Times New Roman"/>
          <w:color w:val="000000"/>
          <w:sz w:val="25"/>
          <w:szCs w:val="25"/>
        </w:rPr>
        <w:t xml:space="preserve">3. In order to appreciate the contention a few provisions have to be noticed. The Finance Act, 1994 provided for the levy of service tax in India for the first time. It received several amendments in the course of the time. Originally service tax was levied on the basis of a selective approach; in other words certain taxable services were specified in section 65(105) of the said Act and it was those services that were chargeable to service tax. A drastic change was made w. e. f. 1 st July, 2012 when the comprehensive approach was sought to be introduced by the Finance Act, 2012. The tax regime contemplated under the comprehensive approach was to treat all activities as services chargeable to service tax, except those placed in the negative list </w:t>
      </w:r>
      <w:r w:rsidRPr="00875C94">
        <w:rPr>
          <w:rFonts w:ascii="Georgia" w:eastAsia="Times New Roman" w:hAnsi="Georgia" w:cs="Times New Roman"/>
          <w:color w:val="000000"/>
          <w:sz w:val="25"/>
          <w:szCs w:val="25"/>
        </w:rPr>
        <w:lastRenderedPageBreak/>
        <w:t>or specifically exempted. This fundamental change was brought about by defining ―service</w:t>
      </w:r>
      <w:r w:rsidRPr="00875C94">
        <w:rPr>
          <w:rFonts w:ascii="Times New Roman" w:eastAsia="Times New Roman" w:hAnsi="Times New Roman" w:cs="Times New Roman"/>
          <w:color w:val="000000"/>
          <w:sz w:val="25"/>
          <w:szCs w:val="25"/>
        </w:rPr>
        <w:t>‖</w:t>
      </w:r>
      <w:r w:rsidRPr="00875C94">
        <w:rPr>
          <w:rFonts w:ascii="Georgia" w:eastAsia="Times New Roman" w:hAnsi="Georgia" w:cs="Georgia"/>
          <w:color w:val="000000"/>
          <w:sz w:val="25"/>
          <w:szCs w:val="25"/>
        </w:rPr>
        <w:t xml:space="preserve"> in section 65B(44) in the following manner: - ―(44) "service" means any activity carried out by a person for another for consideration, and includes a declared service, but shall not include--</w:t>
      </w:r>
    </w:p>
    <w:p w:rsidR="00875C94" w:rsidRPr="00875C94" w:rsidRDefault="00875C94" w:rsidP="00875C94">
      <w:pPr>
        <w:shd w:val="clear" w:color="auto" w:fill="FFFFFF"/>
        <w:spacing w:before="100" w:beforeAutospacing="1" w:after="100" w:afterAutospacing="1" w:line="386" w:lineRule="atLeast"/>
        <w:jc w:val="both"/>
        <w:rPr>
          <w:rFonts w:ascii="Georgia" w:eastAsia="Times New Roman" w:hAnsi="Georgia" w:cs="Times New Roman"/>
          <w:color w:val="000000"/>
          <w:sz w:val="25"/>
          <w:szCs w:val="25"/>
        </w:rPr>
      </w:pPr>
      <w:r w:rsidRPr="00875C94">
        <w:rPr>
          <w:rFonts w:ascii="Georgia" w:eastAsia="Times New Roman" w:hAnsi="Georgia" w:cs="Times New Roman"/>
          <w:color w:val="000000"/>
          <w:sz w:val="25"/>
          <w:szCs w:val="25"/>
        </w:rPr>
        <w:t>(a) an activity which constitutes merely,--</w:t>
      </w:r>
    </w:p>
    <w:p w:rsidR="00875C94" w:rsidRPr="00875C94" w:rsidRDefault="00875C94" w:rsidP="00875C94">
      <w:pPr>
        <w:shd w:val="clear" w:color="auto" w:fill="FFFFFF"/>
        <w:spacing w:before="100" w:beforeAutospacing="1" w:after="100" w:afterAutospacing="1" w:line="386" w:lineRule="atLeast"/>
        <w:jc w:val="both"/>
        <w:rPr>
          <w:rFonts w:ascii="Georgia" w:eastAsia="Times New Roman" w:hAnsi="Georgia" w:cs="Times New Roman"/>
          <w:color w:val="000000"/>
          <w:sz w:val="25"/>
          <w:szCs w:val="25"/>
        </w:rPr>
      </w:pPr>
      <w:r w:rsidRPr="00875C94">
        <w:rPr>
          <w:rFonts w:ascii="Georgia" w:eastAsia="Times New Roman" w:hAnsi="Georgia" w:cs="Times New Roman"/>
          <w:color w:val="000000"/>
          <w:sz w:val="25"/>
          <w:szCs w:val="25"/>
        </w:rPr>
        <w:t>(i) a transfer of title in goods or</w:t>
      </w:r>
    </w:p>
    <w:p w:rsidR="00875C94" w:rsidRPr="00875C94" w:rsidRDefault="00875C94" w:rsidP="00875C94">
      <w:pPr>
        <w:shd w:val="clear" w:color="auto" w:fill="FFFFFF"/>
        <w:spacing w:before="100" w:beforeAutospacing="1" w:after="100" w:afterAutospacing="1" w:line="386" w:lineRule="atLeast"/>
        <w:jc w:val="both"/>
        <w:rPr>
          <w:rFonts w:ascii="Georgia" w:eastAsia="Times New Roman" w:hAnsi="Georgia" w:cs="Times New Roman"/>
          <w:color w:val="000000"/>
          <w:sz w:val="25"/>
          <w:szCs w:val="25"/>
        </w:rPr>
      </w:pPr>
      <w:r w:rsidRPr="00875C94">
        <w:rPr>
          <w:rFonts w:ascii="Georgia" w:eastAsia="Times New Roman" w:hAnsi="Georgia" w:cs="Times New Roman"/>
          <w:color w:val="000000"/>
          <w:sz w:val="25"/>
          <w:szCs w:val="25"/>
        </w:rPr>
        <w:t>immovable property, by way of sale,</w:t>
      </w:r>
    </w:p>
    <w:p w:rsidR="00875C94" w:rsidRPr="00875C94" w:rsidRDefault="00875C94" w:rsidP="00875C94">
      <w:pPr>
        <w:shd w:val="clear" w:color="auto" w:fill="FFFFFF"/>
        <w:spacing w:before="100" w:beforeAutospacing="1" w:after="100" w:afterAutospacing="1" w:line="386" w:lineRule="atLeast"/>
        <w:jc w:val="both"/>
        <w:rPr>
          <w:rFonts w:ascii="Georgia" w:eastAsia="Times New Roman" w:hAnsi="Georgia" w:cs="Times New Roman"/>
          <w:color w:val="000000"/>
          <w:sz w:val="25"/>
          <w:szCs w:val="25"/>
        </w:rPr>
      </w:pPr>
      <w:r w:rsidRPr="00875C94">
        <w:rPr>
          <w:rFonts w:ascii="Georgia" w:eastAsia="Times New Roman" w:hAnsi="Georgia" w:cs="Times New Roman"/>
          <w:color w:val="000000"/>
          <w:sz w:val="25"/>
          <w:szCs w:val="25"/>
        </w:rPr>
        <w:t>gift or in any other manner; or</w:t>
      </w:r>
    </w:p>
    <w:p w:rsidR="00875C94" w:rsidRPr="00875C94" w:rsidRDefault="00875C94" w:rsidP="00875C94">
      <w:pPr>
        <w:shd w:val="clear" w:color="auto" w:fill="FFFFFF"/>
        <w:spacing w:before="100" w:beforeAutospacing="1" w:after="100" w:afterAutospacing="1" w:line="386" w:lineRule="atLeast"/>
        <w:jc w:val="both"/>
        <w:rPr>
          <w:rFonts w:ascii="Georgia" w:eastAsia="Times New Roman" w:hAnsi="Georgia" w:cs="Times New Roman"/>
          <w:color w:val="000000"/>
          <w:sz w:val="25"/>
          <w:szCs w:val="25"/>
        </w:rPr>
      </w:pPr>
      <w:r w:rsidRPr="00875C94">
        <w:rPr>
          <w:rFonts w:ascii="Georgia" w:eastAsia="Times New Roman" w:hAnsi="Georgia" w:cs="Times New Roman"/>
          <w:color w:val="000000"/>
          <w:sz w:val="25"/>
          <w:szCs w:val="25"/>
        </w:rPr>
        <w:t>W.P. (C) 4512/2012 Page 3 of 19 (ii) such transfer, delivery or supply of</w:t>
      </w:r>
    </w:p>
    <w:p w:rsidR="00875C94" w:rsidRPr="00875C94" w:rsidRDefault="00875C94" w:rsidP="00875C94">
      <w:pPr>
        <w:shd w:val="clear" w:color="auto" w:fill="FFFFFF"/>
        <w:spacing w:before="100" w:beforeAutospacing="1" w:after="100" w:afterAutospacing="1" w:line="386" w:lineRule="atLeast"/>
        <w:jc w:val="both"/>
        <w:rPr>
          <w:rFonts w:ascii="Georgia" w:eastAsia="Times New Roman" w:hAnsi="Georgia" w:cs="Times New Roman"/>
          <w:color w:val="000000"/>
          <w:sz w:val="25"/>
          <w:szCs w:val="25"/>
        </w:rPr>
      </w:pPr>
      <w:r w:rsidRPr="00875C94">
        <w:rPr>
          <w:rFonts w:ascii="Georgia" w:eastAsia="Times New Roman" w:hAnsi="Georgia" w:cs="Times New Roman"/>
          <w:color w:val="000000"/>
          <w:sz w:val="25"/>
          <w:szCs w:val="25"/>
        </w:rPr>
        <w:t>any goods which is deemed to be a sale</w:t>
      </w:r>
    </w:p>
    <w:p w:rsidR="00875C94" w:rsidRPr="00875C94" w:rsidRDefault="00875C94" w:rsidP="00875C94">
      <w:pPr>
        <w:shd w:val="clear" w:color="auto" w:fill="FFFFFF"/>
        <w:spacing w:before="100" w:beforeAutospacing="1" w:after="100" w:afterAutospacing="1" w:line="386" w:lineRule="atLeast"/>
        <w:jc w:val="both"/>
        <w:rPr>
          <w:rFonts w:ascii="Georgia" w:eastAsia="Times New Roman" w:hAnsi="Georgia" w:cs="Times New Roman"/>
          <w:color w:val="000000"/>
          <w:sz w:val="25"/>
          <w:szCs w:val="25"/>
        </w:rPr>
      </w:pPr>
      <w:r w:rsidRPr="00875C94">
        <w:rPr>
          <w:rFonts w:ascii="Georgia" w:eastAsia="Times New Roman" w:hAnsi="Georgia" w:cs="Times New Roman"/>
          <w:color w:val="000000"/>
          <w:sz w:val="25"/>
          <w:szCs w:val="25"/>
        </w:rPr>
        <w:t>within the meaning of clause (29A) of</w:t>
      </w:r>
    </w:p>
    <w:p w:rsidR="00875C94" w:rsidRPr="00875C94" w:rsidRDefault="00875C94" w:rsidP="00875C94">
      <w:pPr>
        <w:shd w:val="clear" w:color="auto" w:fill="FFFFFF"/>
        <w:spacing w:before="100" w:beforeAutospacing="1" w:after="100" w:afterAutospacing="1" w:line="386" w:lineRule="atLeast"/>
        <w:jc w:val="both"/>
        <w:rPr>
          <w:rFonts w:ascii="Georgia" w:eastAsia="Times New Roman" w:hAnsi="Georgia" w:cs="Times New Roman"/>
          <w:color w:val="000000"/>
          <w:sz w:val="25"/>
          <w:szCs w:val="25"/>
        </w:rPr>
      </w:pPr>
      <w:r w:rsidRPr="00875C94">
        <w:rPr>
          <w:rFonts w:ascii="Georgia" w:eastAsia="Times New Roman" w:hAnsi="Georgia" w:cs="Times New Roman"/>
          <w:color w:val="000000"/>
          <w:sz w:val="25"/>
          <w:szCs w:val="25"/>
        </w:rPr>
        <w:t>article 366 of the Constitution; or.</w:t>
      </w:r>
    </w:p>
    <w:p w:rsidR="00875C94" w:rsidRPr="00875C94" w:rsidRDefault="00875C94" w:rsidP="00875C94">
      <w:pPr>
        <w:shd w:val="clear" w:color="auto" w:fill="FFFFFF"/>
        <w:spacing w:before="100" w:beforeAutospacing="1" w:after="100" w:afterAutospacing="1" w:line="386" w:lineRule="atLeast"/>
        <w:jc w:val="both"/>
        <w:rPr>
          <w:rFonts w:ascii="Georgia" w:eastAsia="Times New Roman" w:hAnsi="Georgia" w:cs="Times New Roman"/>
          <w:color w:val="000000"/>
          <w:sz w:val="25"/>
          <w:szCs w:val="25"/>
        </w:rPr>
      </w:pPr>
      <w:r w:rsidRPr="00875C94">
        <w:rPr>
          <w:rFonts w:ascii="Georgia" w:eastAsia="Times New Roman" w:hAnsi="Georgia" w:cs="Times New Roman"/>
          <w:color w:val="000000"/>
          <w:sz w:val="25"/>
          <w:szCs w:val="25"/>
        </w:rPr>
        <w:t>(iii) a transaction in money or</w:t>
      </w:r>
    </w:p>
    <w:p w:rsidR="00875C94" w:rsidRPr="00875C94" w:rsidRDefault="00875C94" w:rsidP="00875C94">
      <w:pPr>
        <w:shd w:val="clear" w:color="auto" w:fill="FFFFFF"/>
        <w:spacing w:before="100" w:beforeAutospacing="1" w:after="100" w:afterAutospacing="1" w:line="386" w:lineRule="atLeast"/>
        <w:jc w:val="both"/>
        <w:rPr>
          <w:rFonts w:ascii="Georgia" w:eastAsia="Times New Roman" w:hAnsi="Georgia" w:cs="Times New Roman"/>
          <w:color w:val="000000"/>
          <w:sz w:val="25"/>
          <w:szCs w:val="25"/>
        </w:rPr>
      </w:pPr>
      <w:r w:rsidRPr="00875C94">
        <w:rPr>
          <w:rFonts w:ascii="Georgia" w:eastAsia="Times New Roman" w:hAnsi="Georgia" w:cs="Times New Roman"/>
          <w:color w:val="000000"/>
          <w:sz w:val="25"/>
          <w:szCs w:val="25"/>
        </w:rPr>
        <w:t>actionable claim;</w:t>
      </w:r>
    </w:p>
    <w:p w:rsidR="00875C94" w:rsidRPr="00875C94" w:rsidRDefault="00875C94" w:rsidP="00875C94">
      <w:pPr>
        <w:shd w:val="clear" w:color="auto" w:fill="FFFFFF"/>
        <w:spacing w:before="100" w:beforeAutospacing="1" w:after="100" w:afterAutospacing="1" w:line="386" w:lineRule="atLeast"/>
        <w:jc w:val="both"/>
        <w:rPr>
          <w:rFonts w:ascii="Georgia" w:eastAsia="Times New Roman" w:hAnsi="Georgia" w:cs="Times New Roman"/>
          <w:color w:val="000000"/>
          <w:sz w:val="25"/>
          <w:szCs w:val="25"/>
        </w:rPr>
      </w:pPr>
      <w:r w:rsidRPr="00875C94">
        <w:rPr>
          <w:rFonts w:ascii="Georgia" w:eastAsia="Times New Roman" w:hAnsi="Georgia" w:cs="Times New Roman"/>
          <w:color w:val="000000"/>
          <w:sz w:val="25"/>
          <w:szCs w:val="25"/>
        </w:rPr>
        <w:t>(b) a provision of service by an employee to the employer in the course of or in relation to his</w:t>
      </w:r>
    </w:p>
    <w:p w:rsidR="00875C94" w:rsidRPr="00875C94" w:rsidRDefault="00875C94" w:rsidP="00875C94">
      <w:pPr>
        <w:shd w:val="clear" w:color="auto" w:fill="FFFFFF"/>
        <w:spacing w:before="100" w:beforeAutospacing="1" w:after="100" w:afterAutospacing="1" w:line="386" w:lineRule="atLeast"/>
        <w:jc w:val="both"/>
        <w:rPr>
          <w:rFonts w:ascii="Georgia" w:eastAsia="Times New Roman" w:hAnsi="Georgia" w:cs="Times New Roman"/>
          <w:color w:val="000000"/>
          <w:sz w:val="25"/>
          <w:szCs w:val="25"/>
        </w:rPr>
      </w:pPr>
      <w:r w:rsidRPr="00875C94">
        <w:rPr>
          <w:rFonts w:ascii="Georgia" w:eastAsia="Times New Roman" w:hAnsi="Georgia" w:cs="Times New Roman"/>
          <w:color w:val="000000"/>
          <w:sz w:val="25"/>
          <w:szCs w:val="25"/>
        </w:rPr>
        <w:t>employment;</w:t>
      </w:r>
    </w:p>
    <w:p w:rsidR="00875C94" w:rsidRPr="00875C94" w:rsidRDefault="00875C94" w:rsidP="00875C94">
      <w:pPr>
        <w:shd w:val="clear" w:color="auto" w:fill="FFFFFF"/>
        <w:spacing w:before="100" w:beforeAutospacing="1" w:after="100" w:afterAutospacing="1" w:line="386" w:lineRule="atLeast"/>
        <w:jc w:val="both"/>
        <w:rPr>
          <w:rFonts w:ascii="Georgia" w:eastAsia="Times New Roman" w:hAnsi="Georgia" w:cs="Times New Roman"/>
          <w:color w:val="000000"/>
          <w:sz w:val="25"/>
          <w:szCs w:val="25"/>
        </w:rPr>
      </w:pPr>
      <w:r w:rsidRPr="00875C94">
        <w:rPr>
          <w:rFonts w:ascii="Georgia" w:eastAsia="Times New Roman" w:hAnsi="Georgia" w:cs="Times New Roman"/>
          <w:color w:val="000000"/>
          <w:sz w:val="25"/>
          <w:szCs w:val="25"/>
        </w:rPr>
        <w:t>(c) fees taken in any Court or tribunal established under any law for the time being in force.</w:t>
      </w:r>
    </w:p>
    <w:p w:rsidR="00875C94" w:rsidRPr="00875C94" w:rsidRDefault="00875C94" w:rsidP="00875C94">
      <w:pPr>
        <w:shd w:val="clear" w:color="auto" w:fill="FFFFFF"/>
        <w:spacing w:before="100" w:beforeAutospacing="1" w:after="100" w:afterAutospacing="1" w:line="386" w:lineRule="atLeast"/>
        <w:jc w:val="both"/>
        <w:rPr>
          <w:rFonts w:ascii="Georgia" w:eastAsia="Times New Roman" w:hAnsi="Georgia" w:cs="Times New Roman"/>
          <w:color w:val="000000"/>
          <w:sz w:val="25"/>
          <w:szCs w:val="25"/>
        </w:rPr>
      </w:pPr>
      <w:r w:rsidRPr="00875C94">
        <w:rPr>
          <w:rFonts w:ascii="Georgia" w:eastAsia="Times New Roman" w:hAnsi="Georgia" w:cs="Times New Roman"/>
          <w:color w:val="000000"/>
          <w:sz w:val="25"/>
          <w:szCs w:val="25"/>
        </w:rPr>
        <w:t>Explanation 1.-- For the removal of doubts, it is hereby declared that nothing contained in this clause shall apply to,--</w:t>
      </w:r>
    </w:p>
    <w:p w:rsidR="00875C94" w:rsidRPr="00875C94" w:rsidRDefault="00875C94" w:rsidP="00875C94">
      <w:pPr>
        <w:shd w:val="clear" w:color="auto" w:fill="FFFFFF"/>
        <w:spacing w:before="100" w:beforeAutospacing="1" w:after="100" w:afterAutospacing="1" w:line="386" w:lineRule="atLeast"/>
        <w:jc w:val="both"/>
        <w:rPr>
          <w:rFonts w:ascii="Georgia" w:eastAsia="Times New Roman" w:hAnsi="Georgia" w:cs="Times New Roman"/>
          <w:color w:val="000000"/>
          <w:sz w:val="25"/>
          <w:szCs w:val="25"/>
        </w:rPr>
      </w:pPr>
      <w:r w:rsidRPr="00875C94">
        <w:rPr>
          <w:rFonts w:ascii="Georgia" w:eastAsia="Times New Roman" w:hAnsi="Georgia" w:cs="Times New Roman"/>
          <w:color w:val="000000"/>
          <w:sz w:val="25"/>
          <w:szCs w:val="25"/>
        </w:rPr>
        <w:t>(A) the functions performed by the Members of</w:t>
      </w:r>
    </w:p>
    <w:p w:rsidR="00875C94" w:rsidRPr="00875C94" w:rsidRDefault="00875C94" w:rsidP="00875C94">
      <w:pPr>
        <w:shd w:val="clear" w:color="auto" w:fill="FFFFFF"/>
        <w:spacing w:before="100" w:beforeAutospacing="1" w:after="100" w:afterAutospacing="1" w:line="386" w:lineRule="atLeast"/>
        <w:jc w:val="both"/>
        <w:rPr>
          <w:rFonts w:ascii="Georgia" w:eastAsia="Times New Roman" w:hAnsi="Georgia" w:cs="Times New Roman"/>
          <w:color w:val="000000"/>
          <w:sz w:val="25"/>
          <w:szCs w:val="25"/>
        </w:rPr>
      </w:pPr>
      <w:r w:rsidRPr="00875C94">
        <w:rPr>
          <w:rFonts w:ascii="Georgia" w:eastAsia="Times New Roman" w:hAnsi="Georgia" w:cs="Times New Roman"/>
          <w:color w:val="000000"/>
          <w:sz w:val="25"/>
          <w:szCs w:val="25"/>
        </w:rPr>
        <w:lastRenderedPageBreak/>
        <w:t>Parliament, Members of State Legislature, Members of Panchayats, Members of Municipalities and</w:t>
      </w:r>
    </w:p>
    <w:p w:rsidR="00875C94" w:rsidRPr="00875C94" w:rsidRDefault="00875C94" w:rsidP="00875C94">
      <w:pPr>
        <w:shd w:val="clear" w:color="auto" w:fill="FFFFFF"/>
        <w:spacing w:before="100" w:beforeAutospacing="1" w:after="100" w:afterAutospacing="1" w:line="386" w:lineRule="atLeast"/>
        <w:jc w:val="both"/>
        <w:rPr>
          <w:rFonts w:ascii="Georgia" w:eastAsia="Times New Roman" w:hAnsi="Georgia" w:cs="Times New Roman"/>
          <w:color w:val="000000"/>
          <w:sz w:val="25"/>
          <w:szCs w:val="25"/>
        </w:rPr>
      </w:pPr>
      <w:r w:rsidRPr="00875C94">
        <w:rPr>
          <w:rFonts w:ascii="Georgia" w:eastAsia="Times New Roman" w:hAnsi="Georgia" w:cs="Times New Roman"/>
          <w:color w:val="000000"/>
          <w:sz w:val="25"/>
          <w:szCs w:val="25"/>
        </w:rPr>
        <w:t>Members of other local authorities who receive any consideration in performing the functions of that office as such member; or</w:t>
      </w:r>
    </w:p>
    <w:p w:rsidR="00875C94" w:rsidRPr="00875C94" w:rsidRDefault="00875C94" w:rsidP="00875C94">
      <w:pPr>
        <w:shd w:val="clear" w:color="auto" w:fill="FFFFFF"/>
        <w:spacing w:before="100" w:beforeAutospacing="1" w:after="100" w:afterAutospacing="1" w:line="386" w:lineRule="atLeast"/>
        <w:jc w:val="both"/>
        <w:rPr>
          <w:rFonts w:ascii="Georgia" w:eastAsia="Times New Roman" w:hAnsi="Georgia" w:cs="Times New Roman"/>
          <w:color w:val="000000"/>
          <w:sz w:val="25"/>
          <w:szCs w:val="25"/>
        </w:rPr>
      </w:pPr>
      <w:r w:rsidRPr="00875C94">
        <w:rPr>
          <w:rFonts w:ascii="Georgia" w:eastAsia="Times New Roman" w:hAnsi="Georgia" w:cs="Times New Roman"/>
          <w:color w:val="000000"/>
          <w:sz w:val="25"/>
          <w:szCs w:val="25"/>
        </w:rPr>
        <w:t>(B) the duties performed by any person who holds any post in pursuance of the provisions of the Constitution in that capacity; or</w:t>
      </w:r>
    </w:p>
    <w:p w:rsidR="00875C94" w:rsidRPr="00875C94" w:rsidRDefault="00875C94" w:rsidP="00875C94">
      <w:pPr>
        <w:shd w:val="clear" w:color="auto" w:fill="FFFFFF"/>
        <w:spacing w:before="100" w:beforeAutospacing="1" w:after="100" w:afterAutospacing="1" w:line="386" w:lineRule="atLeast"/>
        <w:jc w:val="both"/>
        <w:rPr>
          <w:rFonts w:ascii="Georgia" w:eastAsia="Times New Roman" w:hAnsi="Georgia" w:cs="Times New Roman"/>
          <w:color w:val="000000"/>
          <w:sz w:val="25"/>
          <w:szCs w:val="25"/>
        </w:rPr>
      </w:pPr>
      <w:r w:rsidRPr="00875C94">
        <w:rPr>
          <w:rFonts w:ascii="Georgia" w:eastAsia="Times New Roman" w:hAnsi="Georgia" w:cs="Times New Roman"/>
          <w:color w:val="000000"/>
          <w:sz w:val="25"/>
          <w:szCs w:val="25"/>
        </w:rPr>
        <w:t>(C) the duties performed by any person as a</w:t>
      </w:r>
    </w:p>
    <w:p w:rsidR="00875C94" w:rsidRPr="00875C94" w:rsidRDefault="00875C94" w:rsidP="00875C94">
      <w:pPr>
        <w:shd w:val="clear" w:color="auto" w:fill="FFFFFF"/>
        <w:spacing w:before="100" w:beforeAutospacing="1" w:after="100" w:afterAutospacing="1" w:line="386" w:lineRule="atLeast"/>
        <w:jc w:val="both"/>
        <w:rPr>
          <w:rFonts w:ascii="Georgia" w:eastAsia="Times New Roman" w:hAnsi="Georgia" w:cs="Times New Roman"/>
          <w:color w:val="000000"/>
          <w:sz w:val="25"/>
          <w:szCs w:val="25"/>
        </w:rPr>
      </w:pPr>
      <w:r w:rsidRPr="00875C94">
        <w:rPr>
          <w:rFonts w:ascii="Georgia" w:eastAsia="Times New Roman" w:hAnsi="Georgia" w:cs="Times New Roman"/>
          <w:color w:val="000000"/>
          <w:sz w:val="25"/>
          <w:szCs w:val="25"/>
        </w:rPr>
        <w:t>Chairperson or a Member or a Director in a body</w:t>
      </w:r>
    </w:p>
    <w:p w:rsidR="00875C94" w:rsidRPr="00875C94" w:rsidRDefault="00875C94" w:rsidP="00875C94">
      <w:pPr>
        <w:shd w:val="clear" w:color="auto" w:fill="FFFFFF"/>
        <w:spacing w:before="100" w:beforeAutospacing="1" w:after="100" w:afterAutospacing="1" w:line="386" w:lineRule="atLeast"/>
        <w:jc w:val="both"/>
        <w:rPr>
          <w:rFonts w:ascii="Georgia" w:eastAsia="Times New Roman" w:hAnsi="Georgia" w:cs="Times New Roman"/>
          <w:color w:val="000000"/>
          <w:sz w:val="25"/>
          <w:szCs w:val="25"/>
        </w:rPr>
      </w:pPr>
      <w:r w:rsidRPr="00875C94">
        <w:rPr>
          <w:rFonts w:ascii="Georgia" w:eastAsia="Times New Roman" w:hAnsi="Georgia" w:cs="Times New Roman"/>
          <w:color w:val="000000"/>
          <w:sz w:val="25"/>
          <w:szCs w:val="25"/>
        </w:rPr>
        <w:t>established by the Central Government or State</w:t>
      </w:r>
    </w:p>
    <w:p w:rsidR="00875C94" w:rsidRPr="00875C94" w:rsidRDefault="00875C94" w:rsidP="00875C94">
      <w:pPr>
        <w:shd w:val="clear" w:color="auto" w:fill="FFFFFF"/>
        <w:spacing w:before="100" w:beforeAutospacing="1" w:after="100" w:afterAutospacing="1" w:line="386" w:lineRule="atLeast"/>
        <w:jc w:val="both"/>
        <w:rPr>
          <w:rFonts w:ascii="Georgia" w:eastAsia="Times New Roman" w:hAnsi="Georgia" w:cs="Times New Roman"/>
          <w:color w:val="000000"/>
          <w:sz w:val="25"/>
          <w:szCs w:val="25"/>
        </w:rPr>
      </w:pPr>
      <w:r w:rsidRPr="00875C94">
        <w:rPr>
          <w:rFonts w:ascii="Georgia" w:eastAsia="Times New Roman" w:hAnsi="Georgia" w:cs="Times New Roman"/>
          <w:color w:val="000000"/>
          <w:sz w:val="25"/>
          <w:szCs w:val="25"/>
        </w:rPr>
        <w:t>Governments or local authority and who is not</w:t>
      </w:r>
    </w:p>
    <w:p w:rsidR="00875C94" w:rsidRPr="00875C94" w:rsidRDefault="00875C94" w:rsidP="00875C94">
      <w:pPr>
        <w:shd w:val="clear" w:color="auto" w:fill="FFFFFF"/>
        <w:spacing w:before="100" w:beforeAutospacing="1" w:after="100" w:afterAutospacing="1" w:line="386" w:lineRule="atLeast"/>
        <w:jc w:val="both"/>
        <w:rPr>
          <w:rFonts w:ascii="Georgia" w:eastAsia="Times New Roman" w:hAnsi="Georgia" w:cs="Times New Roman"/>
          <w:color w:val="000000"/>
          <w:sz w:val="25"/>
          <w:szCs w:val="25"/>
        </w:rPr>
      </w:pPr>
      <w:r w:rsidRPr="00875C94">
        <w:rPr>
          <w:rFonts w:ascii="Georgia" w:eastAsia="Times New Roman" w:hAnsi="Georgia" w:cs="Times New Roman"/>
          <w:color w:val="000000"/>
          <w:sz w:val="25"/>
          <w:szCs w:val="25"/>
        </w:rPr>
        <w:t>deemed as an employee before the commencement of this section.</w:t>
      </w:r>
    </w:p>
    <w:p w:rsidR="00875C94" w:rsidRPr="00875C94" w:rsidRDefault="00875C94" w:rsidP="00875C94">
      <w:pPr>
        <w:shd w:val="clear" w:color="auto" w:fill="FFFFFF"/>
        <w:spacing w:before="100" w:beforeAutospacing="1" w:after="100" w:afterAutospacing="1" w:line="386" w:lineRule="atLeast"/>
        <w:jc w:val="both"/>
        <w:rPr>
          <w:rFonts w:ascii="Georgia" w:eastAsia="Times New Roman" w:hAnsi="Georgia" w:cs="Times New Roman"/>
          <w:color w:val="000000"/>
          <w:sz w:val="25"/>
          <w:szCs w:val="25"/>
        </w:rPr>
      </w:pPr>
      <w:r w:rsidRPr="00875C94">
        <w:rPr>
          <w:rFonts w:ascii="Georgia" w:eastAsia="Times New Roman" w:hAnsi="Georgia" w:cs="Times New Roman"/>
          <w:color w:val="000000"/>
          <w:sz w:val="25"/>
          <w:szCs w:val="25"/>
        </w:rPr>
        <w:t>Explanation 2.--For the purposes of this clause, transaction in money shall not include any activity relating to the use of money or its conversion by cash or by any other mode, from one form, currency or W.P. (C) 4512/2012 Page 4 of 19 denomination to another form, currency or</w:t>
      </w:r>
    </w:p>
    <w:p w:rsidR="00875C94" w:rsidRPr="00875C94" w:rsidRDefault="00875C94" w:rsidP="00875C94">
      <w:pPr>
        <w:shd w:val="clear" w:color="auto" w:fill="FFFFFF"/>
        <w:spacing w:before="100" w:beforeAutospacing="1" w:after="100" w:afterAutospacing="1" w:line="386" w:lineRule="atLeast"/>
        <w:jc w:val="both"/>
        <w:rPr>
          <w:rFonts w:ascii="Georgia" w:eastAsia="Times New Roman" w:hAnsi="Georgia" w:cs="Times New Roman"/>
          <w:color w:val="000000"/>
          <w:sz w:val="25"/>
          <w:szCs w:val="25"/>
        </w:rPr>
      </w:pPr>
      <w:r w:rsidRPr="00875C94">
        <w:rPr>
          <w:rFonts w:ascii="Georgia" w:eastAsia="Times New Roman" w:hAnsi="Georgia" w:cs="Times New Roman"/>
          <w:color w:val="000000"/>
          <w:sz w:val="25"/>
          <w:szCs w:val="25"/>
        </w:rPr>
        <w:t>denomination for which a separate consideration is charged.</w:t>
      </w:r>
    </w:p>
    <w:p w:rsidR="00875C94" w:rsidRPr="00875C94" w:rsidRDefault="00875C94" w:rsidP="00875C94">
      <w:pPr>
        <w:shd w:val="clear" w:color="auto" w:fill="FFFFFF"/>
        <w:spacing w:before="100" w:beforeAutospacing="1" w:after="100" w:afterAutospacing="1" w:line="386" w:lineRule="atLeast"/>
        <w:jc w:val="both"/>
        <w:rPr>
          <w:rFonts w:ascii="Georgia" w:eastAsia="Times New Roman" w:hAnsi="Georgia" w:cs="Times New Roman"/>
          <w:color w:val="000000"/>
          <w:sz w:val="25"/>
          <w:szCs w:val="25"/>
        </w:rPr>
      </w:pPr>
      <w:r w:rsidRPr="00875C94">
        <w:rPr>
          <w:rFonts w:ascii="Georgia" w:eastAsia="Times New Roman" w:hAnsi="Georgia" w:cs="Times New Roman"/>
          <w:color w:val="000000"/>
          <w:sz w:val="25"/>
          <w:szCs w:val="25"/>
        </w:rPr>
        <w:t>Explanation 3.-- For the purposes of this Chapter,-- (a) an unincorporated association or a body of</w:t>
      </w:r>
    </w:p>
    <w:p w:rsidR="00875C94" w:rsidRPr="00875C94" w:rsidRDefault="00875C94" w:rsidP="00875C94">
      <w:pPr>
        <w:shd w:val="clear" w:color="auto" w:fill="FFFFFF"/>
        <w:spacing w:before="100" w:beforeAutospacing="1" w:after="100" w:afterAutospacing="1" w:line="386" w:lineRule="atLeast"/>
        <w:jc w:val="both"/>
        <w:rPr>
          <w:rFonts w:ascii="Georgia" w:eastAsia="Times New Roman" w:hAnsi="Georgia" w:cs="Times New Roman"/>
          <w:color w:val="000000"/>
          <w:sz w:val="25"/>
          <w:szCs w:val="25"/>
        </w:rPr>
      </w:pPr>
      <w:r w:rsidRPr="00875C94">
        <w:rPr>
          <w:rFonts w:ascii="Georgia" w:eastAsia="Times New Roman" w:hAnsi="Georgia" w:cs="Times New Roman"/>
          <w:color w:val="000000"/>
          <w:sz w:val="25"/>
          <w:szCs w:val="25"/>
        </w:rPr>
        <w:t>persons, as the case may be, and a member thereof shall be treated as distinct persons;</w:t>
      </w:r>
    </w:p>
    <w:p w:rsidR="00875C94" w:rsidRPr="00875C94" w:rsidRDefault="00875C94" w:rsidP="00875C94">
      <w:pPr>
        <w:shd w:val="clear" w:color="auto" w:fill="FFFFFF"/>
        <w:spacing w:before="100" w:beforeAutospacing="1" w:after="100" w:afterAutospacing="1" w:line="386" w:lineRule="atLeast"/>
        <w:jc w:val="both"/>
        <w:rPr>
          <w:rFonts w:ascii="Georgia" w:eastAsia="Times New Roman" w:hAnsi="Georgia" w:cs="Times New Roman"/>
          <w:color w:val="000000"/>
          <w:sz w:val="25"/>
          <w:szCs w:val="25"/>
        </w:rPr>
      </w:pPr>
      <w:r w:rsidRPr="00875C94">
        <w:rPr>
          <w:rFonts w:ascii="Georgia" w:eastAsia="Times New Roman" w:hAnsi="Georgia" w:cs="Times New Roman"/>
          <w:color w:val="000000"/>
          <w:sz w:val="25"/>
          <w:szCs w:val="25"/>
        </w:rPr>
        <w:t>(b) an establishment of a person in the taxable</w:t>
      </w:r>
    </w:p>
    <w:p w:rsidR="00875C94" w:rsidRPr="00875C94" w:rsidRDefault="00875C94" w:rsidP="00875C94">
      <w:pPr>
        <w:shd w:val="clear" w:color="auto" w:fill="FFFFFF"/>
        <w:spacing w:before="100" w:beforeAutospacing="1" w:after="100" w:afterAutospacing="1" w:line="386" w:lineRule="atLeast"/>
        <w:jc w:val="both"/>
        <w:rPr>
          <w:rFonts w:ascii="Georgia" w:eastAsia="Times New Roman" w:hAnsi="Georgia" w:cs="Times New Roman"/>
          <w:color w:val="000000"/>
          <w:sz w:val="25"/>
          <w:szCs w:val="25"/>
        </w:rPr>
      </w:pPr>
      <w:r w:rsidRPr="00875C94">
        <w:rPr>
          <w:rFonts w:ascii="Georgia" w:eastAsia="Times New Roman" w:hAnsi="Georgia" w:cs="Times New Roman"/>
          <w:color w:val="000000"/>
          <w:sz w:val="25"/>
          <w:szCs w:val="25"/>
        </w:rPr>
        <w:t>territory and any of his other establishment in a non- taxable territory shall be treated as establishments of distinct persons.</w:t>
      </w:r>
    </w:p>
    <w:p w:rsidR="00875C94" w:rsidRPr="00875C94" w:rsidRDefault="00875C94" w:rsidP="00875C94">
      <w:pPr>
        <w:shd w:val="clear" w:color="auto" w:fill="FFFFFF"/>
        <w:spacing w:before="100" w:beforeAutospacing="1" w:after="100" w:afterAutospacing="1" w:line="386" w:lineRule="atLeast"/>
        <w:jc w:val="both"/>
        <w:rPr>
          <w:rFonts w:ascii="Georgia" w:eastAsia="Times New Roman" w:hAnsi="Georgia" w:cs="Times New Roman"/>
          <w:color w:val="000000"/>
          <w:sz w:val="25"/>
          <w:szCs w:val="25"/>
        </w:rPr>
      </w:pPr>
      <w:r w:rsidRPr="00875C94">
        <w:rPr>
          <w:rFonts w:ascii="Georgia" w:eastAsia="Times New Roman" w:hAnsi="Georgia" w:cs="Times New Roman"/>
          <w:color w:val="000000"/>
          <w:sz w:val="25"/>
          <w:szCs w:val="25"/>
        </w:rPr>
        <w:lastRenderedPageBreak/>
        <w:t>Explanation 4.-- A person carrying on a business through a branch or agency or representational office in any territory shall be treated as having an</w:t>
      </w:r>
    </w:p>
    <w:p w:rsidR="00875C94" w:rsidRPr="00875C94" w:rsidRDefault="00875C94" w:rsidP="00875C94">
      <w:pPr>
        <w:shd w:val="clear" w:color="auto" w:fill="FFFFFF"/>
        <w:spacing w:before="100" w:beforeAutospacing="1" w:after="100" w:afterAutospacing="1" w:line="386" w:lineRule="atLeast"/>
        <w:jc w:val="both"/>
        <w:rPr>
          <w:rFonts w:ascii="Georgia" w:eastAsia="Times New Roman" w:hAnsi="Georgia" w:cs="Times New Roman"/>
          <w:color w:val="000000"/>
          <w:sz w:val="25"/>
          <w:szCs w:val="25"/>
        </w:rPr>
      </w:pPr>
      <w:r w:rsidRPr="00875C94">
        <w:rPr>
          <w:rFonts w:ascii="Georgia" w:eastAsia="Times New Roman" w:hAnsi="Georgia" w:cs="Times New Roman"/>
          <w:color w:val="000000"/>
          <w:sz w:val="25"/>
          <w:szCs w:val="25"/>
        </w:rPr>
        <w:t>establishment in that territory;</w:t>
      </w:r>
      <w:r w:rsidRPr="00875C94">
        <w:rPr>
          <w:rFonts w:ascii="Times New Roman" w:eastAsia="Times New Roman" w:hAnsi="Times New Roman" w:cs="Times New Roman"/>
          <w:color w:val="000000"/>
          <w:sz w:val="25"/>
          <w:szCs w:val="25"/>
        </w:rPr>
        <w:t>‖</w:t>
      </w:r>
    </w:p>
    <w:p w:rsidR="00875C94" w:rsidRPr="00875C94" w:rsidRDefault="00875C94" w:rsidP="00875C94">
      <w:pPr>
        <w:shd w:val="clear" w:color="auto" w:fill="FFFFFF"/>
        <w:spacing w:before="100" w:beforeAutospacing="1" w:after="100" w:afterAutospacing="1" w:line="386" w:lineRule="atLeast"/>
        <w:jc w:val="both"/>
        <w:rPr>
          <w:rFonts w:ascii="Georgia" w:eastAsia="Times New Roman" w:hAnsi="Georgia" w:cs="Times New Roman"/>
          <w:color w:val="000000"/>
          <w:sz w:val="25"/>
          <w:szCs w:val="25"/>
        </w:rPr>
      </w:pPr>
      <w:r w:rsidRPr="00875C94">
        <w:rPr>
          <w:rFonts w:ascii="Georgia" w:eastAsia="Times New Roman" w:hAnsi="Georgia" w:cs="Times New Roman"/>
          <w:color w:val="000000"/>
          <w:sz w:val="25"/>
          <w:szCs w:val="25"/>
        </w:rPr>
        <w:t>4. Section 66B provided for the charge of service tax on and after the Finance Act, 2012. That section is as follows: - ―66B. Charge of service tax on and after Finance Act, 2012 - There shall be levied a tax (hereinafter referred to as the service tax) at the rate of twelve per cent on the value of all services, other than those services specified in the negative list, provided or agreed to be provided in the taxable territory by one person to another and collected in such manner as may be prescribed.</w:t>
      </w:r>
      <w:r w:rsidRPr="00875C94">
        <w:rPr>
          <w:rFonts w:ascii="Times New Roman" w:eastAsia="Times New Roman" w:hAnsi="Times New Roman" w:cs="Times New Roman"/>
          <w:color w:val="000000"/>
          <w:sz w:val="25"/>
          <w:szCs w:val="25"/>
        </w:rPr>
        <w:t>‖</w:t>
      </w:r>
    </w:p>
    <w:p w:rsidR="00875C94" w:rsidRPr="00875C94" w:rsidRDefault="00875C94" w:rsidP="00875C94">
      <w:pPr>
        <w:shd w:val="clear" w:color="auto" w:fill="FFFFFF"/>
        <w:spacing w:before="100" w:beforeAutospacing="1" w:after="100" w:afterAutospacing="1" w:line="386" w:lineRule="atLeast"/>
        <w:jc w:val="both"/>
        <w:rPr>
          <w:rFonts w:ascii="Georgia" w:eastAsia="Times New Roman" w:hAnsi="Georgia" w:cs="Times New Roman"/>
          <w:color w:val="000000"/>
          <w:sz w:val="25"/>
          <w:szCs w:val="25"/>
        </w:rPr>
      </w:pPr>
      <w:r w:rsidRPr="00875C94">
        <w:rPr>
          <w:rFonts w:ascii="Georgia" w:eastAsia="Times New Roman" w:hAnsi="Georgia" w:cs="Times New Roman"/>
          <w:color w:val="000000"/>
          <w:sz w:val="25"/>
          <w:szCs w:val="25"/>
        </w:rPr>
        <w:t>5. A negative list of services which were not taxable was set out in section 66D. It is not necessary to reproduce the said list as it is not the petitioner's case that the services rendered by the chit companies are included in the negative list and hence not taxable. Section 66E contains W.P. (C) 4512/2012 Page 5 of 19 a list of ―declared services</w:t>
      </w:r>
      <w:r w:rsidRPr="00875C94">
        <w:rPr>
          <w:rFonts w:ascii="Times New Roman" w:eastAsia="Times New Roman" w:hAnsi="Times New Roman" w:cs="Times New Roman"/>
          <w:color w:val="000000"/>
          <w:sz w:val="25"/>
          <w:szCs w:val="25"/>
        </w:rPr>
        <w:t>‖</w:t>
      </w:r>
      <w:r w:rsidRPr="00875C94">
        <w:rPr>
          <w:rFonts w:ascii="Georgia" w:eastAsia="Times New Roman" w:hAnsi="Georgia" w:cs="Georgia"/>
          <w:color w:val="000000"/>
          <w:sz w:val="25"/>
          <w:szCs w:val="25"/>
        </w:rPr>
        <w:t xml:space="preserve"> which are subjected to service tax by virtue of section 65B(44) which is quoted above. There are other provisions relating to valuation of the taxable services, r</w:t>
      </w:r>
      <w:r w:rsidRPr="00875C94">
        <w:rPr>
          <w:rFonts w:ascii="Georgia" w:eastAsia="Times New Roman" w:hAnsi="Georgia" w:cs="Times New Roman"/>
          <w:color w:val="000000"/>
          <w:sz w:val="25"/>
          <w:szCs w:val="25"/>
        </w:rPr>
        <w:t>egistration, furnishing of returns, assessment and recovery, penalties, etc, which are not relevant for the purpose of the present writ petition.</w:t>
      </w:r>
    </w:p>
    <w:p w:rsidR="00875C94" w:rsidRPr="00875C94" w:rsidRDefault="00875C94" w:rsidP="00875C94">
      <w:pPr>
        <w:shd w:val="clear" w:color="auto" w:fill="FFFFFF"/>
        <w:spacing w:before="100" w:beforeAutospacing="1" w:after="100" w:afterAutospacing="1" w:line="386" w:lineRule="atLeast"/>
        <w:jc w:val="both"/>
        <w:rPr>
          <w:rFonts w:ascii="Georgia" w:eastAsia="Times New Roman" w:hAnsi="Georgia" w:cs="Times New Roman"/>
          <w:color w:val="000000"/>
          <w:sz w:val="25"/>
          <w:szCs w:val="25"/>
        </w:rPr>
      </w:pPr>
      <w:r w:rsidRPr="00875C94">
        <w:rPr>
          <w:rFonts w:ascii="Georgia" w:eastAsia="Times New Roman" w:hAnsi="Georgia" w:cs="Times New Roman"/>
          <w:color w:val="000000"/>
          <w:sz w:val="25"/>
          <w:szCs w:val="25"/>
        </w:rPr>
        <w:t xml:space="preserve">6. It is necessary to give a brief account of the operations of a chit fund business. Supposing 50 persons come together to organise a chit. Let us further suppose that each of them undertake to contribute `1,000/-. The total chit amount would be `50,000/-. Let us further suppose that the fund would operate for a period of 50 months. Thus the member subscribers and the number of months for which the chit would operate would be the same. In this example at the end of each month, an amount of `50,000/- (`1,000/- x 50) would be available in the kitty of the chit fund. The said amount would be put to auction and those subscribers who are interested in drawing the money early because of their needs may participate in the auction. The successful bidder who is normally the person who offers the highest discount is given the chit amount. For example if there are three bidders offering to take the chit of `50,000/- for `40,000/-, `37,500/- and `35,000/- respectively, the chit would be </w:t>
      </w:r>
      <w:r w:rsidRPr="00875C94">
        <w:rPr>
          <w:rFonts w:ascii="Georgia" w:eastAsia="Times New Roman" w:hAnsi="Georgia" w:cs="Times New Roman"/>
          <w:color w:val="000000"/>
          <w:sz w:val="25"/>
          <w:szCs w:val="25"/>
        </w:rPr>
        <w:lastRenderedPageBreak/>
        <w:t>given W.P. (C) 4512/2012 Page 6 of 19 to that subscriber who is willing to take it for `35,000/- since he has offered a discount of `15,000/-. This leave a balance of `15,000/- (`15,000 - `50,000) in the kitty. The amount of `15,000/- which represents the discount which the successful bidder has foregone becomes the dividend which is to be distributed to all the subscribers after deducting a fixed amount representing the commission payable to the ―foreman</w:t>
      </w:r>
      <w:r w:rsidRPr="00875C94">
        <w:rPr>
          <w:rFonts w:ascii="Times New Roman" w:eastAsia="Times New Roman" w:hAnsi="Times New Roman" w:cs="Times New Roman"/>
          <w:color w:val="000000"/>
          <w:sz w:val="25"/>
          <w:szCs w:val="25"/>
        </w:rPr>
        <w:t>‖</w:t>
      </w:r>
      <w:r w:rsidRPr="00875C94">
        <w:rPr>
          <w:rFonts w:ascii="Georgia" w:eastAsia="Times New Roman" w:hAnsi="Georgia" w:cs="Georgia"/>
          <w:color w:val="000000"/>
          <w:sz w:val="25"/>
          <w:szCs w:val="25"/>
        </w:rPr>
        <w:t xml:space="preserve">. A foreman is normally a person who organises the auction and conducts the proceedings. If in the example given above, the commission payable to the foreman is fixed at 5%, then after deducting </w:t>
      </w:r>
      <w:r w:rsidRPr="00875C94">
        <w:rPr>
          <w:rFonts w:ascii="Georgia" w:eastAsia="Times New Roman" w:hAnsi="Georgia" w:cs="Times New Roman"/>
          <w:color w:val="000000"/>
          <w:sz w:val="25"/>
          <w:szCs w:val="25"/>
        </w:rPr>
        <w:t>`2,500/- (5% of `50,000/-, the chit amount) the balance of `12,500/- would be distributed among all the 50 subscribers so that each would get `250/-. This amount of `250/- can be set off by the subscribers against the second month's installment of `1,000/- payable by him and he can give only `750/-. The auction would be repeated in the subsequent months and the same procedure is followed. Any subscriber who delays the bidding or does not bid at all stands to gain the maximum discount. The chit is thus somewhat like a recurring deposit with the bank. There is no bar on the foreman of the chit fund also participating as a subscriber.</w:t>
      </w:r>
    </w:p>
    <w:p w:rsidR="00875C94" w:rsidRPr="00875C94" w:rsidRDefault="00875C94" w:rsidP="00875C94">
      <w:pPr>
        <w:shd w:val="clear" w:color="auto" w:fill="FFFFFF"/>
        <w:spacing w:before="100" w:beforeAutospacing="1" w:after="100" w:afterAutospacing="1" w:line="386" w:lineRule="atLeast"/>
        <w:jc w:val="both"/>
        <w:rPr>
          <w:rFonts w:ascii="Georgia" w:eastAsia="Times New Roman" w:hAnsi="Georgia" w:cs="Times New Roman"/>
          <w:color w:val="000000"/>
          <w:sz w:val="25"/>
          <w:szCs w:val="25"/>
        </w:rPr>
      </w:pPr>
      <w:r w:rsidRPr="00875C94">
        <w:rPr>
          <w:rFonts w:ascii="Georgia" w:eastAsia="Times New Roman" w:hAnsi="Georgia" w:cs="Times New Roman"/>
          <w:color w:val="000000"/>
          <w:sz w:val="25"/>
          <w:szCs w:val="25"/>
        </w:rPr>
        <w:t>7. The business of chit funds is strictly regulated by the Chit Funds W.P. (C) 4512/2012 Page 7 of 19 Act, 1982. It contains detailed provisions relating to registration of chits, commencement and conduct of chit business. Rights and duties of foreman, rights and duties of the subscribers, termination of chits, meetings of general body of subscribers, provisions relating to winding up, disputes and arbitration and other miscellaneous provisions. Suffice to note that section 11 recognises that a chit business can be known by several names such as chit, chit fund, chitty, kuri, etc. Dealing with the Chit Funds Act, the Supreme Court in</w:t>
      </w:r>
      <w:r w:rsidRPr="00875C94">
        <w:rPr>
          <w:rFonts w:ascii="Georgia" w:eastAsia="Times New Roman" w:hAnsi="Georgia" w:cs="Times New Roman"/>
          <w:color w:val="000000"/>
          <w:sz w:val="25"/>
        </w:rPr>
        <w:t> </w:t>
      </w:r>
      <w:hyperlink r:id="rId4" w:history="1">
        <w:r w:rsidRPr="00875C94">
          <w:rPr>
            <w:rFonts w:ascii="Georgia" w:eastAsia="Times New Roman" w:hAnsi="Georgia" w:cs="Times New Roman"/>
            <w:color w:val="1100CC"/>
            <w:sz w:val="25"/>
            <w:u w:val="single"/>
          </w:rPr>
          <w:t>Sriram Chits &amp; Investment (P) Ltd. vs. Union of India</w:t>
        </w:r>
      </w:hyperlink>
      <w:r w:rsidRPr="00875C94">
        <w:rPr>
          <w:rFonts w:ascii="Georgia" w:eastAsia="Times New Roman" w:hAnsi="Georgia" w:cs="Times New Roman"/>
          <w:color w:val="000000"/>
          <w:sz w:val="25"/>
        </w:rPr>
        <w:t> </w:t>
      </w:r>
      <w:r w:rsidRPr="00875C94">
        <w:rPr>
          <w:rFonts w:ascii="Georgia" w:eastAsia="Times New Roman" w:hAnsi="Georgia" w:cs="Times New Roman"/>
          <w:color w:val="000000"/>
          <w:sz w:val="25"/>
          <w:szCs w:val="25"/>
        </w:rPr>
        <w:t>: AIR 1993 SC 2063 has laid down the following propositions: -</w:t>
      </w:r>
    </w:p>
    <w:p w:rsidR="00875C94" w:rsidRPr="00875C94" w:rsidRDefault="00875C94" w:rsidP="00875C94">
      <w:pPr>
        <w:shd w:val="clear" w:color="auto" w:fill="FFFFFF"/>
        <w:spacing w:before="100" w:beforeAutospacing="1" w:after="100" w:afterAutospacing="1" w:line="386" w:lineRule="atLeast"/>
        <w:jc w:val="both"/>
        <w:rPr>
          <w:rFonts w:ascii="Georgia" w:eastAsia="Times New Roman" w:hAnsi="Georgia" w:cs="Times New Roman"/>
          <w:color w:val="000000"/>
          <w:sz w:val="25"/>
          <w:szCs w:val="25"/>
        </w:rPr>
      </w:pPr>
      <w:r w:rsidRPr="00875C94">
        <w:rPr>
          <w:rFonts w:ascii="Georgia" w:eastAsia="Times New Roman" w:hAnsi="Georgia" w:cs="Times New Roman"/>
          <w:color w:val="000000"/>
          <w:sz w:val="25"/>
          <w:szCs w:val="25"/>
        </w:rPr>
        <w:t>(a) The Act, in pith and substance, deals with special contract and consequently falls within entry 7 of list III of the 7 th Schedule to the constitution of India;</w:t>
      </w:r>
    </w:p>
    <w:p w:rsidR="00875C94" w:rsidRPr="00875C94" w:rsidRDefault="00875C94" w:rsidP="00875C94">
      <w:pPr>
        <w:shd w:val="clear" w:color="auto" w:fill="FFFFFF"/>
        <w:spacing w:before="100" w:beforeAutospacing="1" w:after="100" w:afterAutospacing="1" w:line="386" w:lineRule="atLeast"/>
        <w:jc w:val="both"/>
        <w:rPr>
          <w:rFonts w:ascii="Georgia" w:eastAsia="Times New Roman" w:hAnsi="Georgia" w:cs="Times New Roman"/>
          <w:color w:val="000000"/>
          <w:sz w:val="25"/>
          <w:szCs w:val="25"/>
        </w:rPr>
      </w:pPr>
      <w:r w:rsidRPr="00875C94">
        <w:rPr>
          <w:rFonts w:ascii="Georgia" w:eastAsia="Times New Roman" w:hAnsi="Georgia" w:cs="Times New Roman"/>
          <w:color w:val="000000"/>
          <w:sz w:val="25"/>
          <w:szCs w:val="25"/>
        </w:rPr>
        <w:t>(b) A chit fund transaction is not a case of borrowing, nor is it a loan transaction. If a subscriber advances any amount, he does so only to one of the members;</w:t>
      </w:r>
    </w:p>
    <w:p w:rsidR="00875C94" w:rsidRPr="00875C94" w:rsidRDefault="00875C94" w:rsidP="00875C94">
      <w:pPr>
        <w:shd w:val="clear" w:color="auto" w:fill="FFFFFF"/>
        <w:spacing w:before="100" w:beforeAutospacing="1" w:after="100" w:afterAutospacing="1" w:line="386" w:lineRule="atLeast"/>
        <w:jc w:val="both"/>
        <w:rPr>
          <w:rFonts w:ascii="Georgia" w:eastAsia="Times New Roman" w:hAnsi="Georgia" w:cs="Times New Roman"/>
          <w:color w:val="000000"/>
          <w:sz w:val="25"/>
          <w:szCs w:val="25"/>
        </w:rPr>
      </w:pPr>
      <w:r w:rsidRPr="00875C94">
        <w:rPr>
          <w:rFonts w:ascii="Georgia" w:eastAsia="Times New Roman" w:hAnsi="Georgia" w:cs="Times New Roman"/>
          <w:color w:val="000000"/>
          <w:sz w:val="25"/>
          <w:szCs w:val="25"/>
        </w:rPr>
        <w:lastRenderedPageBreak/>
        <w:t>(c) The funds of the chit fund belong to the entire lot of subscribers;</w:t>
      </w:r>
    </w:p>
    <w:p w:rsidR="00875C94" w:rsidRPr="00875C94" w:rsidRDefault="00875C94" w:rsidP="00875C94">
      <w:pPr>
        <w:shd w:val="clear" w:color="auto" w:fill="FFFFFF"/>
        <w:spacing w:before="100" w:beforeAutospacing="1" w:after="100" w:afterAutospacing="1" w:line="386" w:lineRule="atLeast"/>
        <w:jc w:val="both"/>
        <w:rPr>
          <w:rFonts w:ascii="Georgia" w:eastAsia="Times New Roman" w:hAnsi="Georgia" w:cs="Times New Roman"/>
          <w:color w:val="000000"/>
          <w:sz w:val="25"/>
          <w:szCs w:val="25"/>
        </w:rPr>
      </w:pPr>
      <w:r w:rsidRPr="00875C94">
        <w:rPr>
          <w:rFonts w:ascii="Georgia" w:eastAsia="Times New Roman" w:hAnsi="Georgia" w:cs="Times New Roman"/>
          <w:color w:val="000000"/>
          <w:sz w:val="25"/>
          <w:szCs w:val="25"/>
        </w:rPr>
        <w:t>(d) The amounts are in deposit which the stake holder only W.P. (C) 4512/2012 Page 8 of 19 holds a trust for the benefit of the members of the fund; (e) The foreman acts only as a person to bring together the subscribers and he is subject to certain obligations with a view to protecting the subscribers from any mischief or fraud committed by him by using the position;</w:t>
      </w:r>
    </w:p>
    <w:p w:rsidR="00875C94" w:rsidRPr="00875C94" w:rsidRDefault="00875C94" w:rsidP="00875C94">
      <w:pPr>
        <w:shd w:val="clear" w:color="auto" w:fill="FFFFFF"/>
        <w:spacing w:before="100" w:beforeAutospacing="1" w:after="100" w:afterAutospacing="1" w:line="386" w:lineRule="atLeast"/>
        <w:jc w:val="both"/>
        <w:rPr>
          <w:rFonts w:ascii="Georgia" w:eastAsia="Times New Roman" w:hAnsi="Georgia" w:cs="Times New Roman"/>
          <w:color w:val="000000"/>
          <w:sz w:val="25"/>
          <w:szCs w:val="25"/>
        </w:rPr>
      </w:pPr>
      <w:r w:rsidRPr="00875C94">
        <w:rPr>
          <w:rFonts w:ascii="Georgia" w:eastAsia="Times New Roman" w:hAnsi="Georgia" w:cs="Times New Roman"/>
          <w:color w:val="000000"/>
          <w:sz w:val="25"/>
          <w:szCs w:val="25"/>
        </w:rPr>
        <w:t>(f) Commission is payable to the foreman for the service rendered by him as he does not lend money belonging to him.</w:t>
      </w:r>
    </w:p>
    <w:p w:rsidR="00875C94" w:rsidRPr="00875C94" w:rsidRDefault="00875C94" w:rsidP="00875C94">
      <w:pPr>
        <w:shd w:val="clear" w:color="auto" w:fill="FFFFFF"/>
        <w:spacing w:before="100" w:beforeAutospacing="1" w:after="100" w:afterAutospacing="1" w:line="386" w:lineRule="atLeast"/>
        <w:jc w:val="both"/>
        <w:rPr>
          <w:rFonts w:ascii="Georgia" w:eastAsia="Times New Roman" w:hAnsi="Georgia" w:cs="Times New Roman"/>
          <w:color w:val="000000"/>
          <w:sz w:val="25"/>
          <w:szCs w:val="25"/>
        </w:rPr>
      </w:pPr>
      <w:r w:rsidRPr="00875C94">
        <w:rPr>
          <w:rFonts w:ascii="Georgia" w:eastAsia="Times New Roman" w:hAnsi="Georgia" w:cs="Times New Roman"/>
          <w:color w:val="000000"/>
          <w:sz w:val="25"/>
          <w:szCs w:val="25"/>
        </w:rPr>
        <w:t>8. The precise question that arises for consideration in this writ petition is whether the services rendered in connection with a chit business are taxable services or not. The contention advanced on behalf of the petitioner is based on the definition of the word ―service</w:t>
      </w:r>
      <w:r w:rsidRPr="00875C94">
        <w:rPr>
          <w:rFonts w:ascii="Times New Roman" w:eastAsia="Times New Roman" w:hAnsi="Times New Roman" w:cs="Times New Roman"/>
          <w:color w:val="000000"/>
          <w:sz w:val="25"/>
          <w:szCs w:val="25"/>
        </w:rPr>
        <w:t>‖</w:t>
      </w:r>
      <w:r w:rsidRPr="00875C94">
        <w:rPr>
          <w:rFonts w:ascii="Georgia" w:eastAsia="Times New Roman" w:hAnsi="Georgia" w:cs="Georgia"/>
          <w:color w:val="000000"/>
          <w:sz w:val="25"/>
          <w:szCs w:val="25"/>
        </w:rPr>
        <w:t xml:space="preserve"> in section 65B(44). The contention is that the definition excludes an activity which constitutes ―merely a transaction in money or actionable claim</w:t>
      </w:r>
      <w:r w:rsidRPr="00875C94">
        <w:rPr>
          <w:rFonts w:ascii="Times New Roman" w:eastAsia="Times New Roman" w:hAnsi="Times New Roman" w:cs="Times New Roman"/>
          <w:color w:val="000000"/>
          <w:sz w:val="25"/>
          <w:szCs w:val="25"/>
        </w:rPr>
        <w:t>‖</w:t>
      </w:r>
      <w:r w:rsidRPr="00875C94">
        <w:rPr>
          <w:rFonts w:ascii="Georgia" w:eastAsia="Times New Roman" w:hAnsi="Georgia" w:cs="Georgia"/>
          <w:color w:val="000000"/>
          <w:sz w:val="25"/>
          <w:szCs w:val="25"/>
        </w:rPr>
        <w:t xml:space="preserve">; a chit business is a transaction in money and it </w:t>
      </w:r>
      <w:r w:rsidRPr="00875C94">
        <w:rPr>
          <w:rFonts w:ascii="Georgia" w:eastAsia="Times New Roman" w:hAnsi="Georgia" w:cs="Times New Roman"/>
          <w:color w:val="000000"/>
          <w:sz w:val="25"/>
          <w:szCs w:val="25"/>
        </w:rPr>
        <w:t>is obvious that a transaction in money by itself cannot be a service in the sense of being an activity carried out by any person for consideration. Therefore, there can be no question of excluding what is not a service from the definition and that being so, what stands excluded is a service rendered in relation to a transaction in money and chit business being a transaction in money, the W.P. (C) 4512/2012 Page 9 of 19 services rendered in connection with the said business is excluded from the definition. This argument is sought to be supported by reference to Explanation 2 to Section 65B(44). According to the petitioner, this Explanation makes it clear that an activity relating to the use of money or its conversion from one form, currency or denomination to another form, currency or denomination shall not be treated as a transaction in money and, therefore, will be chargeable to service tax and by holding so it seeks to put at rest any ambiguity that may arise in the interpretation of the definition of ―service</w:t>
      </w:r>
      <w:r w:rsidRPr="00875C94">
        <w:rPr>
          <w:rFonts w:ascii="Times New Roman" w:eastAsia="Times New Roman" w:hAnsi="Times New Roman" w:cs="Times New Roman"/>
          <w:color w:val="000000"/>
          <w:sz w:val="25"/>
          <w:szCs w:val="25"/>
        </w:rPr>
        <w:t>‖</w:t>
      </w:r>
      <w:r w:rsidRPr="00875C94">
        <w:rPr>
          <w:rFonts w:ascii="Georgia" w:eastAsia="Times New Roman" w:hAnsi="Georgia" w:cs="Georgia"/>
          <w:color w:val="000000"/>
          <w:sz w:val="25"/>
          <w:szCs w:val="25"/>
        </w:rPr>
        <w:t>. The only service in relation to a transaction in money or actionable claim, which is taxable, according to the Explanation, being the activity relating to the use of money or its conversion from one form, currency or denomination to another form curr</w:t>
      </w:r>
      <w:r w:rsidRPr="00875C94">
        <w:rPr>
          <w:rFonts w:ascii="Georgia" w:eastAsia="Times New Roman" w:hAnsi="Georgia" w:cs="Times New Roman"/>
          <w:color w:val="000000"/>
          <w:sz w:val="25"/>
          <w:szCs w:val="25"/>
        </w:rPr>
        <w:t xml:space="preserve">ency or denomination for which a separate consideration is charged, it clearly implies that all other services rendered in connection with a transaction in money or actionable </w:t>
      </w:r>
      <w:r w:rsidRPr="00875C94">
        <w:rPr>
          <w:rFonts w:ascii="Georgia" w:eastAsia="Times New Roman" w:hAnsi="Georgia" w:cs="Times New Roman"/>
          <w:color w:val="000000"/>
          <w:sz w:val="25"/>
          <w:szCs w:val="25"/>
        </w:rPr>
        <w:lastRenderedPageBreak/>
        <w:t>claim, including the services rendered by the foreman of a chit business, stand excluded from the definition. It is accordingly submitted that the commission received by the foreman or any other person conducting the chit business is not subject to service tax. These contentions are stoutly controverted on behalf of the respondents. W.P. (C) 4512/2012 Page 10 of 19</w:t>
      </w:r>
    </w:p>
    <w:p w:rsidR="00875C94" w:rsidRPr="00875C94" w:rsidRDefault="00875C94" w:rsidP="00875C94">
      <w:pPr>
        <w:shd w:val="clear" w:color="auto" w:fill="FFFFFF"/>
        <w:spacing w:before="100" w:beforeAutospacing="1" w:after="100" w:afterAutospacing="1" w:line="386" w:lineRule="atLeast"/>
        <w:jc w:val="both"/>
        <w:rPr>
          <w:rFonts w:ascii="Georgia" w:eastAsia="Times New Roman" w:hAnsi="Georgia" w:cs="Times New Roman"/>
          <w:color w:val="000000"/>
          <w:sz w:val="25"/>
          <w:szCs w:val="25"/>
        </w:rPr>
      </w:pPr>
      <w:r w:rsidRPr="00875C94">
        <w:rPr>
          <w:rFonts w:ascii="Georgia" w:eastAsia="Times New Roman" w:hAnsi="Georgia" w:cs="Times New Roman"/>
          <w:color w:val="000000"/>
          <w:sz w:val="25"/>
          <w:szCs w:val="25"/>
        </w:rPr>
        <w:t>9. We shall first address the argument that what is excluded is only a service in relation to an activity which constitutes merely a transaction in money or actionable claim. The basis of this argument is the principle that a provision cannot exclude something from the definition, unless it is included in the definition. Section 65B(44) defines ―service</w:t>
      </w:r>
      <w:r w:rsidRPr="00875C94">
        <w:rPr>
          <w:rFonts w:ascii="Times New Roman" w:eastAsia="Times New Roman" w:hAnsi="Times New Roman" w:cs="Times New Roman"/>
          <w:color w:val="000000"/>
          <w:sz w:val="25"/>
          <w:szCs w:val="25"/>
        </w:rPr>
        <w:t>‖</w:t>
      </w:r>
      <w:r w:rsidRPr="00875C94">
        <w:rPr>
          <w:rFonts w:ascii="Georgia" w:eastAsia="Times New Roman" w:hAnsi="Georgia" w:cs="Georgia"/>
          <w:color w:val="000000"/>
          <w:sz w:val="25"/>
          <w:szCs w:val="25"/>
        </w:rPr>
        <w:t xml:space="preserve"> as any activity carried out by a person for another for consideration. This implies, as pointed out on behalf of the petiti</w:t>
      </w:r>
      <w:r w:rsidRPr="00875C94">
        <w:rPr>
          <w:rFonts w:ascii="Georgia" w:eastAsia="Times New Roman" w:hAnsi="Georgia" w:cs="Times New Roman"/>
          <w:color w:val="000000"/>
          <w:sz w:val="25"/>
          <w:szCs w:val="25"/>
        </w:rPr>
        <w:t>oner, that there are four elements therein: the person who provides the service, the person who receives the service, the actual rendering of the service and, lastly, the consideration for the service. The opening words of the definition consist of the above four aspects or characteristics and unless all the four are present, the activity cannot be charged with service tax. A mere transaction in money or actionable claim cannot under the ordinary notions of a service be considered as a service, neither can it be considered as falling within the first part of the definition because it lacks the four constituent elements which are required by the definition. In a mere transaction in money or actionable claim, no service is involved; there is just the payment and receipt of the money. The word ―money</w:t>
      </w:r>
      <w:r w:rsidRPr="00875C94">
        <w:rPr>
          <w:rFonts w:ascii="Times New Roman" w:eastAsia="Times New Roman" w:hAnsi="Times New Roman" w:cs="Times New Roman"/>
          <w:color w:val="000000"/>
          <w:sz w:val="25"/>
          <w:szCs w:val="25"/>
        </w:rPr>
        <w:t>‖</w:t>
      </w:r>
      <w:r w:rsidRPr="00875C94">
        <w:rPr>
          <w:rFonts w:ascii="Georgia" w:eastAsia="Times New Roman" w:hAnsi="Georgia" w:cs="Georgia"/>
          <w:color w:val="000000"/>
          <w:sz w:val="25"/>
          <w:szCs w:val="25"/>
        </w:rPr>
        <w:t xml:space="preserve"> is defined in section 65B(33) in the following manner: - W.P. (C) 4512/2012 Page 11 of 19 ―(33) ―money</w:t>
      </w:r>
      <w:r w:rsidRPr="00875C94">
        <w:rPr>
          <w:rFonts w:ascii="Times New Roman" w:eastAsia="Times New Roman" w:hAnsi="Times New Roman" w:cs="Times New Roman"/>
          <w:color w:val="000000"/>
          <w:sz w:val="25"/>
          <w:szCs w:val="25"/>
        </w:rPr>
        <w:t>‖</w:t>
      </w:r>
      <w:r w:rsidRPr="00875C94">
        <w:rPr>
          <w:rFonts w:ascii="Georgia" w:eastAsia="Times New Roman" w:hAnsi="Georgia" w:cs="Georgia"/>
          <w:color w:val="000000"/>
          <w:sz w:val="25"/>
          <w:szCs w:val="25"/>
        </w:rPr>
        <w:t xml:space="preserve"> means legal tender, cheque, promissory note, bill of exchange, letter of credit, draft, pay order, traveler ch</w:t>
      </w:r>
      <w:r w:rsidRPr="00875C94">
        <w:rPr>
          <w:rFonts w:ascii="Georgia" w:eastAsia="Times New Roman" w:hAnsi="Georgia" w:cs="Times New Roman"/>
          <w:color w:val="000000"/>
          <w:sz w:val="25"/>
          <w:szCs w:val="25"/>
        </w:rPr>
        <w:t>eque, money order, postal or electronic remittance or any similar instrument but shall not include any currency that is held for its numismatic value;</w:t>
      </w:r>
    </w:p>
    <w:p w:rsidR="00875C94" w:rsidRPr="00875C94" w:rsidRDefault="00875C94" w:rsidP="00875C94">
      <w:pPr>
        <w:shd w:val="clear" w:color="auto" w:fill="FFFFFF"/>
        <w:spacing w:before="100" w:beforeAutospacing="1" w:after="100" w:afterAutospacing="1" w:line="386" w:lineRule="atLeast"/>
        <w:jc w:val="both"/>
        <w:rPr>
          <w:rFonts w:ascii="Georgia" w:eastAsia="Times New Roman" w:hAnsi="Georgia" w:cs="Times New Roman"/>
          <w:color w:val="000000"/>
          <w:sz w:val="25"/>
          <w:szCs w:val="25"/>
        </w:rPr>
      </w:pPr>
      <w:r w:rsidRPr="00875C94">
        <w:rPr>
          <w:rFonts w:ascii="Georgia" w:eastAsia="Times New Roman" w:hAnsi="Georgia" w:cs="Times New Roman"/>
          <w:color w:val="000000"/>
          <w:sz w:val="25"/>
          <w:szCs w:val="25"/>
        </w:rPr>
        <w:t>10. A mere transaction in money represents the gross value of the transaction. But what is chargeable to service tax is not the transaction in money itself since it can by no means be considered as a service. The exclusionary part of the definition of the word ―service</w:t>
      </w:r>
      <w:r w:rsidRPr="00875C94">
        <w:rPr>
          <w:rFonts w:ascii="Times New Roman" w:eastAsia="Times New Roman" w:hAnsi="Times New Roman" w:cs="Times New Roman"/>
          <w:color w:val="000000"/>
          <w:sz w:val="25"/>
          <w:szCs w:val="25"/>
        </w:rPr>
        <w:t>‖</w:t>
      </w:r>
      <w:r w:rsidRPr="00875C94">
        <w:rPr>
          <w:rFonts w:ascii="Georgia" w:eastAsia="Times New Roman" w:hAnsi="Georgia" w:cs="Georgia"/>
          <w:color w:val="000000"/>
          <w:sz w:val="25"/>
          <w:szCs w:val="25"/>
        </w:rPr>
        <w:t xml:space="preserve"> however refers to ―an activity which constitutes merely a transaction in money or actionab</w:t>
      </w:r>
      <w:r w:rsidRPr="00875C94">
        <w:rPr>
          <w:rFonts w:ascii="Georgia" w:eastAsia="Times New Roman" w:hAnsi="Georgia" w:cs="Times New Roman"/>
          <w:color w:val="000000"/>
          <w:sz w:val="25"/>
          <w:szCs w:val="25"/>
        </w:rPr>
        <w:t>le claim</w:t>
      </w:r>
      <w:r w:rsidRPr="00875C94">
        <w:rPr>
          <w:rFonts w:ascii="Times New Roman" w:eastAsia="Times New Roman" w:hAnsi="Times New Roman" w:cs="Times New Roman"/>
          <w:color w:val="000000"/>
          <w:sz w:val="25"/>
          <w:szCs w:val="25"/>
        </w:rPr>
        <w:t>‖</w:t>
      </w:r>
      <w:r w:rsidRPr="00875C94">
        <w:rPr>
          <w:rFonts w:ascii="Georgia" w:eastAsia="Times New Roman" w:hAnsi="Georgia" w:cs="Georgia"/>
          <w:color w:val="000000"/>
          <w:sz w:val="25"/>
          <w:szCs w:val="25"/>
        </w:rPr>
        <w:t xml:space="preserve">. Since a mere transaction in money or actionable claim cannot under the common notions of a service be considered as a service by any stretch of imagination, it is necessary to examine what could have </w:t>
      </w:r>
      <w:r w:rsidRPr="00875C94">
        <w:rPr>
          <w:rFonts w:ascii="Georgia" w:eastAsia="Times New Roman" w:hAnsi="Georgia" w:cs="Georgia"/>
          <w:color w:val="000000"/>
          <w:sz w:val="25"/>
          <w:szCs w:val="25"/>
        </w:rPr>
        <w:lastRenderedPageBreak/>
        <w:t>been the intention of the legislature in excl</w:t>
      </w:r>
      <w:r w:rsidRPr="00875C94">
        <w:rPr>
          <w:rFonts w:ascii="Georgia" w:eastAsia="Times New Roman" w:hAnsi="Georgia" w:cs="Times New Roman"/>
          <w:color w:val="000000"/>
          <w:sz w:val="25"/>
          <w:szCs w:val="25"/>
        </w:rPr>
        <w:t>uding it from the definition. The obvious answer is that it is not the mere transaction in money or actionable claim that is sought to be excluded from the definition but what is sought to be excluded is any service rendered in connection with a transaction in money or actionable claim. But the difficulty which could arise in this line of reasoning can be that the language of the exclusionary part of the definition in terms refers to the very activity which constitutes a transaction in money and contains no reference to any W.P. (C) 4512/2012 Page 12 of 19 service rendered in connection therewith. The possible answer to this conundrum is that the legislature deemed it fit, ex abundanti cautela, to exclude an activity which constitutes merely a transaction in money, which even otherwise could not have been considered as a service in any sense of the word. This however appears to us to be a far-fetched answer. A clue to a proper interpretation of the exclusionary part of the definition is embedded in Explanation 2. This Explanation carves out an exception to the exclusionary part of the definition by providing that any activity relating to the use of money or its conversion by cash or by any other mode, from one form, currency or denomination to another form, currency or denomination for which a separate consideration is charged shall not be considered as a transaction in money. Therefore, if the only activity, for which a separate consideration is charged, and which cannot be considered as a transaction in money is the activity mentioned in the Explanation, and service tax would accordingly be charged on the consideration received in respect of such an activity, then it follows that all other cases of transaction in money shall stand excluded from the charge of service tax, including the consideration charged for the services of a foreman in a chit business. The Explanation, therefore, seems to W.P. (C) 4512/2012 Page 13 of 19 offer a clue to the problem which appears to us to be a creation of the very confounding manner in which the definition is found to have been drafted. However, we have to make sense of what we have.</w:t>
      </w:r>
    </w:p>
    <w:p w:rsidR="00875C94" w:rsidRPr="00875C94" w:rsidRDefault="00875C94" w:rsidP="00875C94">
      <w:pPr>
        <w:shd w:val="clear" w:color="auto" w:fill="FFFFFF"/>
        <w:spacing w:before="100" w:beforeAutospacing="1" w:after="100" w:afterAutospacing="1" w:line="386" w:lineRule="atLeast"/>
        <w:jc w:val="both"/>
        <w:rPr>
          <w:rFonts w:ascii="Georgia" w:eastAsia="Times New Roman" w:hAnsi="Georgia" w:cs="Times New Roman"/>
          <w:color w:val="000000"/>
          <w:sz w:val="25"/>
          <w:szCs w:val="25"/>
        </w:rPr>
      </w:pPr>
      <w:r w:rsidRPr="00875C94">
        <w:rPr>
          <w:rFonts w:ascii="Georgia" w:eastAsia="Times New Roman" w:hAnsi="Georgia" w:cs="Times New Roman"/>
          <w:color w:val="000000"/>
          <w:sz w:val="25"/>
          <w:szCs w:val="25"/>
        </w:rPr>
        <w:t>11. It is the function of an Explanation to explain the meaning and effect of the main provision to which it is an Explanation and to clear up any doubt or ambiguity in it. Ultimately, however, it is the intention of the legislature which is paramount and a mere use of a label cannot control or deflect such a function. This is the principle laid down by a Constitution Bench of the Supreme Court in</w:t>
      </w:r>
      <w:hyperlink r:id="rId5" w:history="1">
        <w:r w:rsidRPr="00875C94">
          <w:rPr>
            <w:rFonts w:ascii="Georgia" w:eastAsia="Times New Roman" w:hAnsi="Georgia" w:cs="Times New Roman"/>
            <w:color w:val="1100CC"/>
            <w:sz w:val="25"/>
            <w:u w:val="single"/>
          </w:rPr>
          <w:t xml:space="preserve">Dattatraya Govind Mahajan &amp; </w:t>
        </w:r>
        <w:r w:rsidRPr="00875C94">
          <w:rPr>
            <w:rFonts w:ascii="Georgia" w:eastAsia="Times New Roman" w:hAnsi="Georgia" w:cs="Times New Roman"/>
            <w:color w:val="1100CC"/>
            <w:sz w:val="25"/>
            <w:u w:val="single"/>
          </w:rPr>
          <w:lastRenderedPageBreak/>
          <w:t>Ors. vs. State of Maharashtra &amp; Anr.</w:t>
        </w:r>
      </w:hyperlink>
      <w:r w:rsidRPr="00875C94">
        <w:rPr>
          <w:rFonts w:ascii="Georgia" w:eastAsia="Times New Roman" w:hAnsi="Georgia" w:cs="Times New Roman"/>
          <w:color w:val="000000"/>
          <w:sz w:val="25"/>
        </w:rPr>
        <w:t> </w:t>
      </w:r>
      <w:r w:rsidRPr="00875C94">
        <w:rPr>
          <w:rFonts w:ascii="Georgia" w:eastAsia="Times New Roman" w:hAnsi="Georgia" w:cs="Times New Roman"/>
          <w:color w:val="000000"/>
          <w:sz w:val="25"/>
          <w:szCs w:val="25"/>
        </w:rPr>
        <w:t>: (1977) 2 SCC 548. In S. Sundaram Pillai, etc. v. P. Lakshminarayana Charya and Ors. : AIR 1985 SC 582, a three-Judge Bench of the Supreme Court considered the object of an Explanation and observed as follows: - ―52. Thus, from a conspectus of the authorities referred to above, it is manifest that the object of an Explanation to a statutory provision is -</w:t>
      </w:r>
    </w:p>
    <w:p w:rsidR="00875C94" w:rsidRPr="00875C94" w:rsidRDefault="00875C94" w:rsidP="00875C94">
      <w:pPr>
        <w:shd w:val="clear" w:color="auto" w:fill="FFFFFF"/>
        <w:spacing w:before="100" w:beforeAutospacing="1" w:after="100" w:afterAutospacing="1" w:line="386" w:lineRule="atLeast"/>
        <w:jc w:val="both"/>
        <w:rPr>
          <w:rFonts w:ascii="Georgia" w:eastAsia="Times New Roman" w:hAnsi="Georgia" w:cs="Times New Roman"/>
          <w:color w:val="000000"/>
          <w:sz w:val="25"/>
          <w:szCs w:val="25"/>
        </w:rPr>
      </w:pPr>
      <w:r w:rsidRPr="00875C94">
        <w:rPr>
          <w:rFonts w:ascii="Georgia" w:eastAsia="Times New Roman" w:hAnsi="Georgia" w:cs="Times New Roman"/>
          <w:color w:val="000000"/>
          <w:sz w:val="25"/>
          <w:szCs w:val="25"/>
        </w:rPr>
        <w:t>(a) to explain the meaning and intendment of</w:t>
      </w:r>
    </w:p>
    <w:p w:rsidR="00875C94" w:rsidRPr="00875C94" w:rsidRDefault="00875C94" w:rsidP="00875C94">
      <w:pPr>
        <w:shd w:val="clear" w:color="auto" w:fill="FFFFFF"/>
        <w:spacing w:before="100" w:beforeAutospacing="1" w:after="100" w:afterAutospacing="1" w:line="386" w:lineRule="atLeast"/>
        <w:jc w:val="both"/>
        <w:rPr>
          <w:rFonts w:ascii="Georgia" w:eastAsia="Times New Roman" w:hAnsi="Georgia" w:cs="Times New Roman"/>
          <w:color w:val="000000"/>
          <w:sz w:val="25"/>
          <w:szCs w:val="25"/>
        </w:rPr>
      </w:pPr>
      <w:r w:rsidRPr="00875C94">
        <w:rPr>
          <w:rFonts w:ascii="Georgia" w:eastAsia="Times New Roman" w:hAnsi="Georgia" w:cs="Times New Roman"/>
          <w:color w:val="000000"/>
          <w:sz w:val="25"/>
          <w:szCs w:val="25"/>
        </w:rPr>
        <w:t>the Act itself,</w:t>
      </w:r>
    </w:p>
    <w:p w:rsidR="00875C94" w:rsidRPr="00875C94" w:rsidRDefault="00875C94" w:rsidP="00875C94">
      <w:pPr>
        <w:shd w:val="clear" w:color="auto" w:fill="FFFFFF"/>
        <w:spacing w:before="100" w:beforeAutospacing="1" w:after="100" w:afterAutospacing="1" w:line="386" w:lineRule="atLeast"/>
        <w:jc w:val="both"/>
        <w:rPr>
          <w:rFonts w:ascii="Georgia" w:eastAsia="Times New Roman" w:hAnsi="Georgia" w:cs="Times New Roman"/>
          <w:color w:val="000000"/>
          <w:sz w:val="25"/>
          <w:szCs w:val="25"/>
        </w:rPr>
      </w:pPr>
      <w:r w:rsidRPr="00875C94">
        <w:rPr>
          <w:rFonts w:ascii="Georgia" w:eastAsia="Times New Roman" w:hAnsi="Georgia" w:cs="Times New Roman"/>
          <w:color w:val="000000"/>
          <w:sz w:val="25"/>
          <w:szCs w:val="25"/>
        </w:rPr>
        <w:t>(b) where there is any obscurity or vagueness</w:t>
      </w:r>
    </w:p>
    <w:p w:rsidR="00875C94" w:rsidRPr="00875C94" w:rsidRDefault="00875C94" w:rsidP="00875C94">
      <w:pPr>
        <w:shd w:val="clear" w:color="auto" w:fill="FFFFFF"/>
        <w:spacing w:before="100" w:beforeAutospacing="1" w:after="100" w:afterAutospacing="1" w:line="386" w:lineRule="atLeast"/>
        <w:jc w:val="both"/>
        <w:rPr>
          <w:rFonts w:ascii="Georgia" w:eastAsia="Times New Roman" w:hAnsi="Georgia" w:cs="Times New Roman"/>
          <w:color w:val="000000"/>
          <w:sz w:val="25"/>
          <w:szCs w:val="25"/>
        </w:rPr>
      </w:pPr>
      <w:r w:rsidRPr="00875C94">
        <w:rPr>
          <w:rFonts w:ascii="Georgia" w:eastAsia="Times New Roman" w:hAnsi="Georgia" w:cs="Times New Roman"/>
          <w:color w:val="000000"/>
          <w:sz w:val="25"/>
          <w:szCs w:val="25"/>
        </w:rPr>
        <w:t>in the main enactment, to clarify the same so as to make it consistent with the dominant object</w:t>
      </w:r>
    </w:p>
    <w:p w:rsidR="00875C94" w:rsidRPr="00875C94" w:rsidRDefault="00875C94" w:rsidP="00875C94">
      <w:pPr>
        <w:shd w:val="clear" w:color="auto" w:fill="FFFFFF"/>
        <w:spacing w:before="100" w:beforeAutospacing="1" w:after="100" w:afterAutospacing="1" w:line="386" w:lineRule="atLeast"/>
        <w:jc w:val="both"/>
        <w:rPr>
          <w:rFonts w:ascii="Georgia" w:eastAsia="Times New Roman" w:hAnsi="Georgia" w:cs="Times New Roman"/>
          <w:color w:val="000000"/>
          <w:sz w:val="25"/>
          <w:szCs w:val="25"/>
        </w:rPr>
      </w:pPr>
      <w:r w:rsidRPr="00875C94">
        <w:rPr>
          <w:rFonts w:ascii="Georgia" w:eastAsia="Times New Roman" w:hAnsi="Georgia" w:cs="Times New Roman"/>
          <w:color w:val="000000"/>
          <w:sz w:val="25"/>
          <w:szCs w:val="25"/>
        </w:rPr>
        <w:t>which it seems to subserve,</w:t>
      </w:r>
    </w:p>
    <w:p w:rsidR="00875C94" w:rsidRPr="00875C94" w:rsidRDefault="00875C94" w:rsidP="00875C94">
      <w:pPr>
        <w:shd w:val="clear" w:color="auto" w:fill="FFFFFF"/>
        <w:spacing w:before="100" w:beforeAutospacing="1" w:after="100" w:afterAutospacing="1" w:line="386" w:lineRule="atLeast"/>
        <w:jc w:val="both"/>
        <w:rPr>
          <w:rFonts w:ascii="Georgia" w:eastAsia="Times New Roman" w:hAnsi="Georgia" w:cs="Times New Roman"/>
          <w:color w:val="000000"/>
          <w:sz w:val="25"/>
          <w:szCs w:val="25"/>
        </w:rPr>
      </w:pPr>
      <w:r w:rsidRPr="00875C94">
        <w:rPr>
          <w:rFonts w:ascii="Georgia" w:eastAsia="Times New Roman" w:hAnsi="Georgia" w:cs="Times New Roman"/>
          <w:color w:val="000000"/>
          <w:sz w:val="25"/>
          <w:szCs w:val="25"/>
        </w:rPr>
        <w:t>W.P. (C) 4512/2012 Page 14 of 19 (c) to provide an additional support to the</w:t>
      </w:r>
    </w:p>
    <w:p w:rsidR="00875C94" w:rsidRPr="00875C94" w:rsidRDefault="00875C94" w:rsidP="00875C94">
      <w:pPr>
        <w:shd w:val="clear" w:color="auto" w:fill="FFFFFF"/>
        <w:spacing w:before="100" w:beforeAutospacing="1" w:after="100" w:afterAutospacing="1" w:line="386" w:lineRule="atLeast"/>
        <w:jc w:val="both"/>
        <w:rPr>
          <w:rFonts w:ascii="Georgia" w:eastAsia="Times New Roman" w:hAnsi="Georgia" w:cs="Times New Roman"/>
          <w:color w:val="000000"/>
          <w:sz w:val="25"/>
          <w:szCs w:val="25"/>
        </w:rPr>
      </w:pPr>
      <w:r w:rsidRPr="00875C94">
        <w:rPr>
          <w:rFonts w:ascii="Georgia" w:eastAsia="Times New Roman" w:hAnsi="Georgia" w:cs="Times New Roman"/>
          <w:color w:val="000000"/>
          <w:sz w:val="25"/>
          <w:szCs w:val="25"/>
        </w:rPr>
        <w:t>dominant object of the Act in order to make it</w:t>
      </w:r>
    </w:p>
    <w:p w:rsidR="00875C94" w:rsidRPr="00875C94" w:rsidRDefault="00875C94" w:rsidP="00875C94">
      <w:pPr>
        <w:shd w:val="clear" w:color="auto" w:fill="FFFFFF"/>
        <w:spacing w:before="100" w:beforeAutospacing="1" w:after="100" w:afterAutospacing="1" w:line="386" w:lineRule="atLeast"/>
        <w:jc w:val="both"/>
        <w:rPr>
          <w:rFonts w:ascii="Georgia" w:eastAsia="Times New Roman" w:hAnsi="Georgia" w:cs="Times New Roman"/>
          <w:color w:val="000000"/>
          <w:sz w:val="25"/>
          <w:szCs w:val="25"/>
        </w:rPr>
      </w:pPr>
      <w:r w:rsidRPr="00875C94">
        <w:rPr>
          <w:rFonts w:ascii="Georgia" w:eastAsia="Times New Roman" w:hAnsi="Georgia" w:cs="Times New Roman"/>
          <w:color w:val="000000"/>
          <w:sz w:val="25"/>
          <w:szCs w:val="25"/>
        </w:rPr>
        <w:t>meaningful and purposeful,</w:t>
      </w:r>
    </w:p>
    <w:p w:rsidR="00875C94" w:rsidRPr="00875C94" w:rsidRDefault="00875C94" w:rsidP="00875C94">
      <w:pPr>
        <w:shd w:val="clear" w:color="auto" w:fill="FFFFFF"/>
        <w:spacing w:before="100" w:beforeAutospacing="1" w:after="100" w:afterAutospacing="1" w:line="386" w:lineRule="atLeast"/>
        <w:jc w:val="both"/>
        <w:rPr>
          <w:rFonts w:ascii="Georgia" w:eastAsia="Times New Roman" w:hAnsi="Georgia" w:cs="Times New Roman"/>
          <w:color w:val="000000"/>
          <w:sz w:val="25"/>
          <w:szCs w:val="25"/>
        </w:rPr>
      </w:pPr>
      <w:r w:rsidRPr="00875C94">
        <w:rPr>
          <w:rFonts w:ascii="Georgia" w:eastAsia="Times New Roman" w:hAnsi="Georgia" w:cs="Times New Roman"/>
          <w:color w:val="000000"/>
          <w:sz w:val="25"/>
          <w:szCs w:val="25"/>
        </w:rPr>
        <w:t>(d) an Explanation cannot in any way</w:t>
      </w:r>
    </w:p>
    <w:p w:rsidR="00875C94" w:rsidRPr="00875C94" w:rsidRDefault="00875C94" w:rsidP="00875C94">
      <w:pPr>
        <w:shd w:val="clear" w:color="auto" w:fill="FFFFFF"/>
        <w:spacing w:before="100" w:beforeAutospacing="1" w:after="100" w:afterAutospacing="1" w:line="386" w:lineRule="atLeast"/>
        <w:jc w:val="both"/>
        <w:rPr>
          <w:rFonts w:ascii="Georgia" w:eastAsia="Times New Roman" w:hAnsi="Georgia" w:cs="Times New Roman"/>
          <w:color w:val="000000"/>
          <w:sz w:val="25"/>
          <w:szCs w:val="25"/>
        </w:rPr>
      </w:pPr>
      <w:r w:rsidRPr="00875C94">
        <w:rPr>
          <w:rFonts w:ascii="Georgia" w:eastAsia="Times New Roman" w:hAnsi="Georgia" w:cs="Times New Roman"/>
          <w:color w:val="000000"/>
          <w:sz w:val="25"/>
          <w:szCs w:val="25"/>
        </w:rPr>
        <w:t>interfere with or change the enactment or any</w:t>
      </w:r>
    </w:p>
    <w:p w:rsidR="00875C94" w:rsidRPr="00875C94" w:rsidRDefault="00875C94" w:rsidP="00875C94">
      <w:pPr>
        <w:shd w:val="clear" w:color="auto" w:fill="FFFFFF"/>
        <w:spacing w:before="100" w:beforeAutospacing="1" w:after="100" w:afterAutospacing="1" w:line="386" w:lineRule="atLeast"/>
        <w:jc w:val="both"/>
        <w:rPr>
          <w:rFonts w:ascii="Georgia" w:eastAsia="Times New Roman" w:hAnsi="Georgia" w:cs="Times New Roman"/>
          <w:color w:val="000000"/>
          <w:sz w:val="25"/>
          <w:szCs w:val="25"/>
        </w:rPr>
      </w:pPr>
      <w:r w:rsidRPr="00875C94">
        <w:rPr>
          <w:rFonts w:ascii="Georgia" w:eastAsia="Times New Roman" w:hAnsi="Georgia" w:cs="Times New Roman"/>
          <w:color w:val="000000"/>
          <w:sz w:val="25"/>
          <w:szCs w:val="25"/>
        </w:rPr>
        <w:t>part thereof but where some gap is left which is relevant for the purpose of the Explanation, in</w:t>
      </w:r>
    </w:p>
    <w:p w:rsidR="00875C94" w:rsidRPr="00875C94" w:rsidRDefault="00875C94" w:rsidP="00875C94">
      <w:pPr>
        <w:shd w:val="clear" w:color="auto" w:fill="FFFFFF"/>
        <w:spacing w:before="100" w:beforeAutospacing="1" w:after="100" w:afterAutospacing="1" w:line="386" w:lineRule="atLeast"/>
        <w:jc w:val="both"/>
        <w:rPr>
          <w:rFonts w:ascii="Georgia" w:eastAsia="Times New Roman" w:hAnsi="Georgia" w:cs="Times New Roman"/>
          <w:color w:val="000000"/>
          <w:sz w:val="25"/>
          <w:szCs w:val="25"/>
        </w:rPr>
      </w:pPr>
      <w:r w:rsidRPr="00875C94">
        <w:rPr>
          <w:rFonts w:ascii="Georgia" w:eastAsia="Times New Roman" w:hAnsi="Georgia" w:cs="Times New Roman"/>
          <w:color w:val="000000"/>
          <w:sz w:val="25"/>
          <w:szCs w:val="25"/>
        </w:rPr>
        <w:t>order to suppress the mischief and advance the</w:t>
      </w:r>
    </w:p>
    <w:p w:rsidR="00875C94" w:rsidRPr="00875C94" w:rsidRDefault="00875C94" w:rsidP="00875C94">
      <w:pPr>
        <w:shd w:val="clear" w:color="auto" w:fill="FFFFFF"/>
        <w:spacing w:before="100" w:beforeAutospacing="1" w:after="100" w:afterAutospacing="1" w:line="386" w:lineRule="atLeast"/>
        <w:jc w:val="both"/>
        <w:rPr>
          <w:rFonts w:ascii="Georgia" w:eastAsia="Times New Roman" w:hAnsi="Georgia" w:cs="Times New Roman"/>
          <w:color w:val="000000"/>
          <w:sz w:val="25"/>
          <w:szCs w:val="25"/>
        </w:rPr>
      </w:pPr>
      <w:r w:rsidRPr="00875C94">
        <w:rPr>
          <w:rFonts w:ascii="Georgia" w:eastAsia="Times New Roman" w:hAnsi="Georgia" w:cs="Times New Roman"/>
          <w:color w:val="000000"/>
          <w:sz w:val="25"/>
          <w:szCs w:val="25"/>
        </w:rPr>
        <w:t>object of the Act it can help or assist the Court in interpreting the true purport and intendment</w:t>
      </w:r>
    </w:p>
    <w:p w:rsidR="00875C94" w:rsidRPr="00875C94" w:rsidRDefault="00875C94" w:rsidP="00875C94">
      <w:pPr>
        <w:shd w:val="clear" w:color="auto" w:fill="FFFFFF"/>
        <w:spacing w:before="100" w:beforeAutospacing="1" w:after="100" w:afterAutospacing="1" w:line="386" w:lineRule="atLeast"/>
        <w:jc w:val="both"/>
        <w:rPr>
          <w:rFonts w:ascii="Georgia" w:eastAsia="Times New Roman" w:hAnsi="Georgia" w:cs="Times New Roman"/>
          <w:color w:val="000000"/>
          <w:sz w:val="25"/>
          <w:szCs w:val="25"/>
        </w:rPr>
      </w:pPr>
      <w:r w:rsidRPr="00875C94">
        <w:rPr>
          <w:rFonts w:ascii="Georgia" w:eastAsia="Times New Roman" w:hAnsi="Georgia" w:cs="Times New Roman"/>
          <w:color w:val="000000"/>
          <w:sz w:val="25"/>
          <w:szCs w:val="25"/>
        </w:rPr>
        <w:t>of the enactment, and</w:t>
      </w:r>
    </w:p>
    <w:p w:rsidR="00875C94" w:rsidRPr="00875C94" w:rsidRDefault="00875C94" w:rsidP="00875C94">
      <w:pPr>
        <w:shd w:val="clear" w:color="auto" w:fill="FFFFFF"/>
        <w:spacing w:before="100" w:beforeAutospacing="1" w:after="100" w:afterAutospacing="1" w:line="386" w:lineRule="atLeast"/>
        <w:jc w:val="both"/>
        <w:rPr>
          <w:rFonts w:ascii="Georgia" w:eastAsia="Times New Roman" w:hAnsi="Georgia" w:cs="Times New Roman"/>
          <w:color w:val="000000"/>
          <w:sz w:val="25"/>
          <w:szCs w:val="25"/>
        </w:rPr>
      </w:pPr>
      <w:r w:rsidRPr="00875C94">
        <w:rPr>
          <w:rFonts w:ascii="Georgia" w:eastAsia="Times New Roman" w:hAnsi="Georgia" w:cs="Times New Roman"/>
          <w:color w:val="000000"/>
          <w:sz w:val="25"/>
          <w:szCs w:val="25"/>
        </w:rPr>
        <w:lastRenderedPageBreak/>
        <w:t>(e) it cannot, however, take away a statutory</w:t>
      </w:r>
    </w:p>
    <w:p w:rsidR="00875C94" w:rsidRPr="00875C94" w:rsidRDefault="00875C94" w:rsidP="00875C94">
      <w:pPr>
        <w:shd w:val="clear" w:color="auto" w:fill="FFFFFF"/>
        <w:spacing w:before="100" w:beforeAutospacing="1" w:after="100" w:afterAutospacing="1" w:line="386" w:lineRule="atLeast"/>
        <w:jc w:val="both"/>
        <w:rPr>
          <w:rFonts w:ascii="Georgia" w:eastAsia="Times New Roman" w:hAnsi="Georgia" w:cs="Times New Roman"/>
          <w:color w:val="000000"/>
          <w:sz w:val="25"/>
          <w:szCs w:val="25"/>
        </w:rPr>
      </w:pPr>
      <w:r w:rsidRPr="00875C94">
        <w:rPr>
          <w:rFonts w:ascii="Georgia" w:eastAsia="Times New Roman" w:hAnsi="Georgia" w:cs="Times New Roman"/>
          <w:color w:val="000000"/>
          <w:sz w:val="25"/>
          <w:szCs w:val="25"/>
        </w:rPr>
        <w:t>right with which any person under a statute has</w:t>
      </w:r>
    </w:p>
    <w:p w:rsidR="00875C94" w:rsidRPr="00875C94" w:rsidRDefault="00875C94" w:rsidP="00875C94">
      <w:pPr>
        <w:shd w:val="clear" w:color="auto" w:fill="FFFFFF"/>
        <w:spacing w:before="100" w:beforeAutospacing="1" w:after="100" w:afterAutospacing="1" w:line="386" w:lineRule="atLeast"/>
        <w:jc w:val="both"/>
        <w:rPr>
          <w:rFonts w:ascii="Georgia" w:eastAsia="Times New Roman" w:hAnsi="Georgia" w:cs="Times New Roman"/>
          <w:color w:val="000000"/>
          <w:sz w:val="25"/>
          <w:szCs w:val="25"/>
        </w:rPr>
      </w:pPr>
      <w:r w:rsidRPr="00875C94">
        <w:rPr>
          <w:rFonts w:ascii="Georgia" w:eastAsia="Times New Roman" w:hAnsi="Georgia" w:cs="Times New Roman"/>
          <w:color w:val="000000"/>
          <w:sz w:val="25"/>
          <w:szCs w:val="25"/>
        </w:rPr>
        <w:t>been clothed or set at naught the working of an</w:t>
      </w:r>
    </w:p>
    <w:p w:rsidR="00875C94" w:rsidRPr="00875C94" w:rsidRDefault="00875C94" w:rsidP="00875C94">
      <w:pPr>
        <w:shd w:val="clear" w:color="auto" w:fill="FFFFFF"/>
        <w:spacing w:before="100" w:beforeAutospacing="1" w:after="100" w:afterAutospacing="1" w:line="386" w:lineRule="atLeast"/>
        <w:jc w:val="both"/>
        <w:rPr>
          <w:rFonts w:ascii="Georgia" w:eastAsia="Times New Roman" w:hAnsi="Georgia" w:cs="Times New Roman"/>
          <w:color w:val="000000"/>
          <w:sz w:val="25"/>
          <w:szCs w:val="25"/>
        </w:rPr>
      </w:pPr>
      <w:r w:rsidRPr="00875C94">
        <w:rPr>
          <w:rFonts w:ascii="Georgia" w:eastAsia="Times New Roman" w:hAnsi="Georgia" w:cs="Times New Roman"/>
          <w:color w:val="000000"/>
          <w:sz w:val="25"/>
          <w:szCs w:val="25"/>
        </w:rPr>
        <w:t>Act by becoming an hindrance in the</w:t>
      </w:r>
    </w:p>
    <w:p w:rsidR="00875C94" w:rsidRPr="00875C94" w:rsidRDefault="00875C94" w:rsidP="00875C94">
      <w:pPr>
        <w:shd w:val="clear" w:color="auto" w:fill="FFFFFF"/>
        <w:spacing w:before="100" w:beforeAutospacing="1" w:after="100" w:afterAutospacing="1" w:line="386" w:lineRule="atLeast"/>
        <w:jc w:val="both"/>
        <w:rPr>
          <w:rFonts w:ascii="Georgia" w:eastAsia="Times New Roman" w:hAnsi="Georgia" w:cs="Times New Roman"/>
          <w:color w:val="000000"/>
          <w:sz w:val="25"/>
          <w:szCs w:val="25"/>
        </w:rPr>
      </w:pPr>
      <w:r w:rsidRPr="00875C94">
        <w:rPr>
          <w:rFonts w:ascii="Georgia" w:eastAsia="Times New Roman" w:hAnsi="Georgia" w:cs="Times New Roman"/>
          <w:color w:val="000000"/>
          <w:sz w:val="25"/>
          <w:szCs w:val="25"/>
        </w:rPr>
        <w:t>interpretation of the same.</w:t>
      </w:r>
      <w:r w:rsidRPr="00875C94">
        <w:rPr>
          <w:rFonts w:ascii="Times New Roman" w:eastAsia="Times New Roman" w:hAnsi="Times New Roman" w:cs="Times New Roman"/>
          <w:color w:val="000000"/>
          <w:sz w:val="25"/>
          <w:szCs w:val="25"/>
        </w:rPr>
        <w:t>‖</w:t>
      </w:r>
    </w:p>
    <w:p w:rsidR="00875C94" w:rsidRPr="00875C94" w:rsidRDefault="00875C94" w:rsidP="00875C94">
      <w:pPr>
        <w:shd w:val="clear" w:color="auto" w:fill="FFFFFF"/>
        <w:spacing w:before="100" w:beforeAutospacing="1" w:after="100" w:afterAutospacing="1" w:line="386" w:lineRule="atLeast"/>
        <w:jc w:val="both"/>
        <w:rPr>
          <w:rFonts w:ascii="Georgia" w:eastAsia="Times New Roman" w:hAnsi="Georgia" w:cs="Times New Roman"/>
          <w:color w:val="000000"/>
          <w:sz w:val="25"/>
          <w:szCs w:val="25"/>
        </w:rPr>
      </w:pPr>
      <w:r w:rsidRPr="00875C94">
        <w:rPr>
          <w:rFonts w:ascii="Georgia" w:eastAsia="Times New Roman" w:hAnsi="Georgia" w:cs="Times New Roman"/>
          <w:color w:val="000000"/>
          <w:sz w:val="25"/>
          <w:szCs w:val="25"/>
        </w:rPr>
        <w:t>Moreover, ―every clause of a statute should be construed with reference to the context and other clauses of the Act, so as, as far as possible, to make a consistent enactment of the whole statute or series of statutes relating to the subject matter</w:t>
      </w:r>
      <w:r w:rsidRPr="00875C94">
        <w:rPr>
          <w:rFonts w:ascii="Times New Roman" w:eastAsia="Times New Roman" w:hAnsi="Times New Roman" w:cs="Times New Roman"/>
          <w:color w:val="000000"/>
          <w:sz w:val="25"/>
          <w:szCs w:val="25"/>
        </w:rPr>
        <w:t>‖</w:t>
      </w:r>
      <w:r w:rsidRPr="00875C94">
        <w:rPr>
          <w:rFonts w:ascii="Georgia" w:eastAsia="Times New Roman" w:hAnsi="Georgia" w:cs="Georgia"/>
          <w:color w:val="000000"/>
          <w:sz w:val="25"/>
          <w:szCs w:val="25"/>
        </w:rPr>
        <w:t>, as held in Canada Sugar Refining Company Vs. R. (1898) A.C. 375, a principle that is frequently appl</w:t>
      </w:r>
      <w:r w:rsidRPr="00875C94">
        <w:rPr>
          <w:rFonts w:ascii="Georgia" w:eastAsia="Times New Roman" w:hAnsi="Georgia" w:cs="Times New Roman"/>
          <w:color w:val="000000"/>
          <w:sz w:val="25"/>
          <w:szCs w:val="25"/>
        </w:rPr>
        <w:t>ied in case of difficulty in construing a statute. In N. T. Veluswami's case (AIR 1959 SC 422), a three-judge Bench of the Supreme Court speaking through T.L. Venkatarama Aiyar, J, held as follows : ―......... It is no doubt true that if on its true construction, a statute leads to anamolous result, the courts have no option but to give effect to it and leave it to the legislators to amend and alter the law. But when on a construction of a statute, two views are possible, one which results in an anamoly and W.P. (C) 4512/2012 Page 15 of 19 the other, not, it is our duty to adopt the latter and not the former, seeking consolation in the thought that the law bristles with anamolies</w:t>
      </w:r>
      <w:r w:rsidRPr="00875C94">
        <w:rPr>
          <w:rFonts w:ascii="Times New Roman" w:eastAsia="Times New Roman" w:hAnsi="Times New Roman" w:cs="Times New Roman"/>
          <w:color w:val="000000"/>
          <w:sz w:val="25"/>
          <w:szCs w:val="25"/>
        </w:rPr>
        <w:t>‖</w:t>
      </w:r>
      <w:r w:rsidRPr="00875C94">
        <w:rPr>
          <w:rFonts w:ascii="Georgia" w:eastAsia="Times New Roman" w:hAnsi="Georgia" w:cs="Georgia"/>
          <w:color w:val="000000"/>
          <w:sz w:val="25"/>
          <w:szCs w:val="25"/>
        </w:rPr>
        <w:t>.</w:t>
      </w:r>
    </w:p>
    <w:p w:rsidR="00875C94" w:rsidRPr="00875C94" w:rsidRDefault="00875C94" w:rsidP="00875C94">
      <w:pPr>
        <w:shd w:val="clear" w:color="auto" w:fill="FFFFFF"/>
        <w:spacing w:before="100" w:beforeAutospacing="1" w:after="100" w:afterAutospacing="1" w:line="386" w:lineRule="atLeast"/>
        <w:jc w:val="both"/>
        <w:rPr>
          <w:rFonts w:ascii="Georgia" w:eastAsia="Times New Roman" w:hAnsi="Georgia" w:cs="Times New Roman"/>
          <w:color w:val="000000"/>
          <w:sz w:val="25"/>
          <w:szCs w:val="25"/>
        </w:rPr>
      </w:pPr>
      <w:r w:rsidRPr="00875C94">
        <w:rPr>
          <w:rFonts w:ascii="Georgia" w:eastAsia="Times New Roman" w:hAnsi="Georgia" w:cs="Times New Roman"/>
          <w:color w:val="000000"/>
          <w:sz w:val="25"/>
          <w:szCs w:val="25"/>
        </w:rPr>
        <w:t>12. If these rules of interpretation are applied, it appears to us that even if it is assumed that there is an ambiguity or doubt in the interpretation of the exclusionary part of the definition of the word ―service</w:t>
      </w:r>
      <w:r w:rsidRPr="00875C94">
        <w:rPr>
          <w:rFonts w:ascii="Times New Roman" w:eastAsia="Times New Roman" w:hAnsi="Times New Roman" w:cs="Times New Roman"/>
          <w:color w:val="000000"/>
          <w:sz w:val="25"/>
          <w:szCs w:val="25"/>
        </w:rPr>
        <w:t>‖</w:t>
      </w:r>
      <w:r w:rsidRPr="00875C94">
        <w:rPr>
          <w:rFonts w:ascii="Georgia" w:eastAsia="Times New Roman" w:hAnsi="Georgia" w:cs="Georgia"/>
          <w:color w:val="000000"/>
          <w:sz w:val="25"/>
          <w:szCs w:val="25"/>
        </w:rPr>
        <w:t xml:space="preserve"> and as to what types of activities in relation to a transaction or money or actionable claim are exempted from the l</w:t>
      </w:r>
      <w:r w:rsidRPr="00875C94">
        <w:rPr>
          <w:rFonts w:ascii="Georgia" w:eastAsia="Times New Roman" w:hAnsi="Georgia" w:cs="Times New Roman"/>
          <w:color w:val="000000"/>
          <w:sz w:val="25"/>
          <w:szCs w:val="25"/>
        </w:rPr>
        <w:t>evy of service tax, that doubt or ambiguity gets cleared up on a careful examination of the implications of the Explanation 2. The Explanation has been enacted only ―for the purposes of this clause</w:t>
      </w:r>
      <w:r w:rsidRPr="00875C94">
        <w:rPr>
          <w:rFonts w:ascii="Times New Roman" w:eastAsia="Times New Roman" w:hAnsi="Times New Roman" w:cs="Times New Roman"/>
          <w:color w:val="000000"/>
          <w:sz w:val="25"/>
          <w:szCs w:val="25"/>
        </w:rPr>
        <w:t>‖</w:t>
      </w:r>
      <w:r w:rsidRPr="00875C94">
        <w:rPr>
          <w:rFonts w:ascii="Georgia" w:eastAsia="Times New Roman" w:hAnsi="Georgia" w:cs="Georgia"/>
          <w:color w:val="000000"/>
          <w:sz w:val="25"/>
          <w:szCs w:val="25"/>
        </w:rPr>
        <w:t xml:space="preserve"> and since it is placed below clause (c), strictly speakin</w:t>
      </w:r>
      <w:r w:rsidRPr="00875C94">
        <w:rPr>
          <w:rFonts w:ascii="Georgia" w:eastAsia="Times New Roman" w:hAnsi="Georgia" w:cs="Times New Roman"/>
          <w:color w:val="000000"/>
          <w:sz w:val="25"/>
          <w:szCs w:val="25"/>
        </w:rPr>
        <w:t xml:space="preserve">g it is relevant only for the purpose of the aforesaid clause. However, clause (c) refers to fees taken in any Court or Tribunal established under any law for the time being in force. It is obvious that Explanation 2 can have no relevance to this clause. If we refer to clause (c) immediately below which the Explanation is placed, we find that </w:t>
      </w:r>
      <w:r w:rsidRPr="00875C94">
        <w:rPr>
          <w:rFonts w:ascii="Georgia" w:eastAsia="Times New Roman" w:hAnsi="Georgia" w:cs="Times New Roman"/>
          <w:color w:val="000000"/>
          <w:sz w:val="25"/>
          <w:szCs w:val="25"/>
        </w:rPr>
        <w:lastRenderedPageBreak/>
        <w:t>the said clause refers to duties performed by any person as a Chairperson or a Member or a Director in a body established by the Central Government or State Governments or local authority and who is not deemed as an employee before the commencement of this section. It is obvious that the W.P. (C) 4512/2012 Page 16 of 19 Explanation can have no relevance to this clause also. In these circumstances we are constrained to hold that Explanation 2, when it says ―for the purpose of this clause</w:t>
      </w:r>
      <w:r w:rsidRPr="00875C94">
        <w:rPr>
          <w:rFonts w:ascii="Times New Roman" w:eastAsia="Times New Roman" w:hAnsi="Times New Roman" w:cs="Times New Roman"/>
          <w:color w:val="000000"/>
          <w:sz w:val="25"/>
          <w:szCs w:val="25"/>
        </w:rPr>
        <w:t>‖</w:t>
      </w:r>
      <w:r w:rsidRPr="00875C94">
        <w:rPr>
          <w:rFonts w:ascii="Georgia" w:eastAsia="Times New Roman" w:hAnsi="Georgia" w:cs="Georgia"/>
          <w:color w:val="000000"/>
          <w:sz w:val="25"/>
          <w:szCs w:val="25"/>
        </w:rPr>
        <w:t>, the reference can only be to clause (a) and more precisely to sub-clause (iii) which refers to ―a transaction in money or actionable claim</w:t>
      </w:r>
      <w:r w:rsidRPr="00875C94">
        <w:rPr>
          <w:rFonts w:ascii="Times New Roman" w:eastAsia="Times New Roman" w:hAnsi="Times New Roman" w:cs="Times New Roman"/>
          <w:color w:val="000000"/>
          <w:sz w:val="25"/>
          <w:szCs w:val="25"/>
        </w:rPr>
        <w:t>‖</w:t>
      </w:r>
      <w:r w:rsidRPr="00875C94">
        <w:rPr>
          <w:rFonts w:ascii="Georgia" w:eastAsia="Times New Roman" w:hAnsi="Georgia" w:cs="Georgia"/>
          <w:color w:val="000000"/>
          <w:sz w:val="25"/>
          <w:szCs w:val="25"/>
        </w:rPr>
        <w:t xml:space="preserve">. Be that as it may, if the exclusionary part </w:t>
      </w:r>
      <w:r w:rsidRPr="00875C94">
        <w:rPr>
          <w:rFonts w:ascii="Georgia" w:eastAsia="Times New Roman" w:hAnsi="Georgia" w:cs="Times New Roman"/>
          <w:color w:val="000000"/>
          <w:sz w:val="25"/>
          <w:szCs w:val="25"/>
        </w:rPr>
        <w:t>of the definition [i.e., clause (a)(iii)] is construed on its own terms there would be an anamoly in as much as what was not a ―service</w:t>
      </w:r>
      <w:r w:rsidRPr="00875C94">
        <w:rPr>
          <w:rFonts w:ascii="Times New Roman" w:eastAsia="Times New Roman" w:hAnsi="Times New Roman" w:cs="Times New Roman"/>
          <w:color w:val="000000"/>
          <w:sz w:val="25"/>
          <w:szCs w:val="25"/>
        </w:rPr>
        <w:t>‖</w:t>
      </w:r>
      <w:r w:rsidRPr="00875C94">
        <w:rPr>
          <w:rFonts w:ascii="Georgia" w:eastAsia="Times New Roman" w:hAnsi="Georgia" w:cs="Georgia"/>
          <w:color w:val="000000"/>
          <w:sz w:val="25"/>
          <w:szCs w:val="25"/>
        </w:rPr>
        <w:t xml:space="preserve"> in the first place within the opening words of Section 65B (44) would fall to be excluded - a construction that would b</w:t>
      </w:r>
      <w:r w:rsidRPr="00875C94">
        <w:rPr>
          <w:rFonts w:ascii="Georgia" w:eastAsia="Times New Roman" w:hAnsi="Georgia" w:cs="Times New Roman"/>
          <w:color w:val="000000"/>
          <w:sz w:val="25"/>
          <w:szCs w:val="25"/>
        </w:rPr>
        <w:t>e aimless or futile; but if that part is construed in the light of or with the aid of Explanation 2 and what it signifies or implies, then the anamoly gets ironed out or removed, as we have explained earlier. Obviously, we have to prefer the latter interpretation and not the former.</w:t>
      </w:r>
    </w:p>
    <w:p w:rsidR="00875C94" w:rsidRPr="00875C94" w:rsidRDefault="00875C94" w:rsidP="00875C94">
      <w:pPr>
        <w:shd w:val="clear" w:color="auto" w:fill="FFFFFF"/>
        <w:spacing w:before="100" w:beforeAutospacing="1" w:after="100" w:afterAutospacing="1" w:line="386" w:lineRule="atLeast"/>
        <w:jc w:val="both"/>
        <w:rPr>
          <w:rFonts w:ascii="Georgia" w:eastAsia="Times New Roman" w:hAnsi="Georgia" w:cs="Times New Roman"/>
          <w:color w:val="000000"/>
          <w:sz w:val="25"/>
          <w:szCs w:val="25"/>
        </w:rPr>
      </w:pPr>
      <w:r w:rsidRPr="00875C94">
        <w:rPr>
          <w:rFonts w:ascii="Georgia" w:eastAsia="Times New Roman" w:hAnsi="Georgia" w:cs="Times New Roman"/>
          <w:color w:val="000000"/>
          <w:sz w:val="25"/>
          <w:szCs w:val="25"/>
        </w:rPr>
        <w:t>13. In a chit business, the subscription is tendered in any one of the forms of ―money</w:t>
      </w:r>
      <w:r w:rsidRPr="00875C94">
        <w:rPr>
          <w:rFonts w:ascii="Times New Roman" w:eastAsia="Times New Roman" w:hAnsi="Times New Roman" w:cs="Times New Roman"/>
          <w:color w:val="000000"/>
          <w:sz w:val="25"/>
          <w:szCs w:val="25"/>
        </w:rPr>
        <w:t>‖</w:t>
      </w:r>
      <w:r w:rsidRPr="00875C94">
        <w:rPr>
          <w:rFonts w:ascii="Georgia" w:eastAsia="Times New Roman" w:hAnsi="Georgia" w:cs="Georgia"/>
          <w:color w:val="000000"/>
          <w:sz w:val="25"/>
          <w:szCs w:val="25"/>
        </w:rPr>
        <w:t xml:space="preserve"> as defined in section 65B(33). It would, therefore, be a transaction in money. So considered, the transaction would fall within the exclusio</w:t>
      </w:r>
      <w:r w:rsidRPr="00875C94">
        <w:rPr>
          <w:rFonts w:ascii="Georgia" w:eastAsia="Times New Roman" w:hAnsi="Georgia" w:cs="Times New Roman"/>
          <w:color w:val="000000"/>
          <w:sz w:val="25"/>
          <w:szCs w:val="25"/>
        </w:rPr>
        <w:t>nary part of the definition of the word ―service</w:t>
      </w:r>
      <w:r w:rsidRPr="00875C94">
        <w:rPr>
          <w:rFonts w:ascii="Times New Roman" w:eastAsia="Times New Roman" w:hAnsi="Times New Roman" w:cs="Times New Roman"/>
          <w:color w:val="000000"/>
          <w:sz w:val="25"/>
          <w:szCs w:val="25"/>
        </w:rPr>
        <w:t>‖</w:t>
      </w:r>
      <w:r w:rsidRPr="00875C94">
        <w:rPr>
          <w:rFonts w:ascii="Georgia" w:eastAsia="Times New Roman" w:hAnsi="Georgia" w:cs="Georgia"/>
          <w:color w:val="000000"/>
          <w:sz w:val="25"/>
          <w:szCs w:val="25"/>
        </w:rPr>
        <w:t xml:space="preserve"> as being merely a transaction in money. This would be the result if the argument that the exclusionary part of the definition in clause (a) is considered to W.P. (C) 4512/2012 Page 17 of 19 have been enacte</w:t>
      </w:r>
      <w:r w:rsidRPr="00875C94">
        <w:rPr>
          <w:rFonts w:ascii="Georgia" w:eastAsia="Times New Roman" w:hAnsi="Georgia" w:cs="Times New Roman"/>
          <w:color w:val="000000"/>
          <w:sz w:val="25"/>
          <w:szCs w:val="25"/>
        </w:rPr>
        <w:t>d ex abundant cautela; if the argument based on Explanation 2 read with the exclusionary part of the definition is accepted as correct, even then the services rendered by the foreman of the chit business for which a separate consideration is charged, not being an activity of the nature explained in the said Explanation, would be out of the clutches of the definition. Either way, there can be no levy of service tax on the footing that the services of a foreman of a chit business constitute a taxable service.</w:t>
      </w:r>
    </w:p>
    <w:p w:rsidR="00875C94" w:rsidRPr="00875C94" w:rsidRDefault="00875C94" w:rsidP="00875C94">
      <w:pPr>
        <w:shd w:val="clear" w:color="auto" w:fill="FFFFFF"/>
        <w:spacing w:before="100" w:beforeAutospacing="1" w:after="100" w:afterAutospacing="1" w:line="386" w:lineRule="atLeast"/>
        <w:jc w:val="both"/>
        <w:rPr>
          <w:rFonts w:ascii="Georgia" w:eastAsia="Times New Roman" w:hAnsi="Georgia" w:cs="Times New Roman"/>
          <w:color w:val="000000"/>
          <w:sz w:val="25"/>
          <w:szCs w:val="25"/>
        </w:rPr>
      </w:pPr>
      <w:r w:rsidRPr="00875C94">
        <w:rPr>
          <w:rFonts w:ascii="Georgia" w:eastAsia="Times New Roman" w:hAnsi="Georgia" w:cs="Times New Roman"/>
          <w:color w:val="000000"/>
          <w:sz w:val="25"/>
          <w:szCs w:val="25"/>
        </w:rPr>
        <w:t>14. Our attention was drawn on behalf of the petitioner to the Education Guide issued by the Central Board of Excise and Customs and particularly to paragraph 2.8 under the heading ―transactions only in money or actionable claims do not constitute service</w:t>
      </w:r>
      <w:r w:rsidRPr="00875C94">
        <w:rPr>
          <w:rFonts w:ascii="Times New Roman" w:eastAsia="Times New Roman" w:hAnsi="Times New Roman" w:cs="Times New Roman"/>
          <w:color w:val="000000"/>
          <w:sz w:val="25"/>
          <w:szCs w:val="25"/>
        </w:rPr>
        <w:t>‖</w:t>
      </w:r>
      <w:r w:rsidRPr="00875C94">
        <w:rPr>
          <w:rFonts w:ascii="Georgia" w:eastAsia="Times New Roman" w:hAnsi="Georgia" w:cs="Georgia"/>
          <w:color w:val="000000"/>
          <w:sz w:val="25"/>
          <w:szCs w:val="25"/>
        </w:rPr>
        <w:t>. Paragraph 2.8.2 is in the following terms: -</w:t>
      </w:r>
    </w:p>
    <w:p w:rsidR="00875C94" w:rsidRPr="00875C94" w:rsidRDefault="00875C94" w:rsidP="00875C94">
      <w:pPr>
        <w:shd w:val="clear" w:color="auto" w:fill="FFFFFF"/>
        <w:spacing w:before="100" w:beforeAutospacing="1" w:after="100" w:afterAutospacing="1" w:line="386" w:lineRule="atLeast"/>
        <w:jc w:val="both"/>
        <w:rPr>
          <w:rFonts w:ascii="Georgia" w:eastAsia="Times New Roman" w:hAnsi="Georgia" w:cs="Times New Roman"/>
          <w:color w:val="000000"/>
          <w:sz w:val="25"/>
          <w:szCs w:val="25"/>
        </w:rPr>
      </w:pPr>
      <w:r w:rsidRPr="00875C94">
        <w:rPr>
          <w:rFonts w:ascii="Georgia" w:eastAsia="Times New Roman" w:hAnsi="Georgia" w:cs="Times New Roman"/>
          <w:color w:val="000000"/>
          <w:sz w:val="25"/>
          <w:szCs w:val="25"/>
        </w:rPr>
        <w:lastRenderedPageBreak/>
        <w:t>―2.8.2 Would a business chit fund comes under ‗transaction only in money'?</w:t>
      </w:r>
    </w:p>
    <w:p w:rsidR="00875C94" w:rsidRPr="00875C94" w:rsidRDefault="00875C94" w:rsidP="00875C94">
      <w:pPr>
        <w:shd w:val="clear" w:color="auto" w:fill="FFFFFF"/>
        <w:spacing w:before="100" w:beforeAutospacing="1" w:after="100" w:afterAutospacing="1" w:line="386" w:lineRule="atLeast"/>
        <w:jc w:val="both"/>
        <w:rPr>
          <w:rFonts w:ascii="Georgia" w:eastAsia="Times New Roman" w:hAnsi="Georgia" w:cs="Times New Roman"/>
          <w:color w:val="000000"/>
          <w:sz w:val="25"/>
          <w:szCs w:val="25"/>
        </w:rPr>
      </w:pPr>
      <w:r w:rsidRPr="00875C94">
        <w:rPr>
          <w:rFonts w:ascii="Georgia" w:eastAsia="Times New Roman" w:hAnsi="Georgia" w:cs="Times New Roman"/>
          <w:color w:val="000000"/>
          <w:sz w:val="25"/>
          <w:szCs w:val="25"/>
        </w:rPr>
        <w:t>In business chit fund since certain commission received from members is retained by the promoters as consideration for providing services in relation to the chit fund it is not a transaction only in money. The consideration received for such services is therefore chargeable to service tax.</w:t>
      </w:r>
      <w:r w:rsidRPr="00875C94">
        <w:rPr>
          <w:rFonts w:ascii="Times New Roman" w:eastAsia="Times New Roman" w:hAnsi="Times New Roman" w:cs="Times New Roman"/>
          <w:color w:val="000000"/>
          <w:sz w:val="25"/>
          <w:szCs w:val="25"/>
        </w:rPr>
        <w:t>‖</w:t>
      </w:r>
      <w:r w:rsidRPr="00875C94">
        <w:rPr>
          <w:rFonts w:ascii="Georgia" w:eastAsia="Times New Roman" w:hAnsi="Georgia" w:cs="Georgia"/>
          <w:color w:val="000000"/>
          <w:sz w:val="25"/>
          <w:szCs w:val="25"/>
        </w:rPr>
        <w:t xml:space="preserve"> W.P. (C) 4512/2012 Page 18 of 19</w:t>
      </w:r>
    </w:p>
    <w:p w:rsidR="00875C94" w:rsidRPr="00875C94" w:rsidRDefault="00875C94" w:rsidP="00875C94">
      <w:pPr>
        <w:shd w:val="clear" w:color="auto" w:fill="FFFFFF"/>
        <w:spacing w:before="100" w:beforeAutospacing="1" w:after="100" w:afterAutospacing="1" w:line="386" w:lineRule="atLeast"/>
        <w:jc w:val="both"/>
        <w:rPr>
          <w:rFonts w:ascii="Georgia" w:eastAsia="Times New Roman" w:hAnsi="Georgia" w:cs="Times New Roman"/>
          <w:color w:val="000000"/>
          <w:sz w:val="25"/>
          <w:szCs w:val="25"/>
        </w:rPr>
      </w:pPr>
      <w:r w:rsidRPr="00875C94">
        <w:rPr>
          <w:rFonts w:ascii="Georgia" w:eastAsia="Times New Roman" w:hAnsi="Georgia" w:cs="Times New Roman"/>
          <w:color w:val="000000"/>
          <w:sz w:val="25"/>
          <w:szCs w:val="25"/>
        </w:rPr>
        <w:t>15. The argument is that the answer given in the Education Guide is not correct having regard to the proper interpretation of the statutory provision. We have come to the conclusion that no service tax is chargeable on the services rendered by the foreman in a business chit fund on an interpretation of the statutory provisions. It is not necessary for us to therefore express any opinion as to the correctness of the views expressed in the aforesaid Education Guide issued by the Central Board of Excise and Customs.</w:t>
      </w:r>
    </w:p>
    <w:p w:rsidR="00875C94" w:rsidRPr="00875C94" w:rsidRDefault="00875C94" w:rsidP="00875C94">
      <w:pPr>
        <w:shd w:val="clear" w:color="auto" w:fill="FFFFFF"/>
        <w:spacing w:before="100" w:beforeAutospacing="1" w:after="100" w:afterAutospacing="1" w:line="386" w:lineRule="atLeast"/>
        <w:jc w:val="both"/>
        <w:rPr>
          <w:rFonts w:ascii="Georgia" w:eastAsia="Times New Roman" w:hAnsi="Georgia" w:cs="Times New Roman"/>
          <w:color w:val="000000"/>
          <w:sz w:val="25"/>
          <w:szCs w:val="25"/>
        </w:rPr>
      </w:pPr>
      <w:r w:rsidRPr="00875C94">
        <w:rPr>
          <w:rFonts w:ascii="Georgia" w:eastAsia="Times New Roman" w:hAnsi="Georgia" w:cs="Times New Roman"/>
          <w:color w:val="000000"/>
          <w:sz w:val="25"/>
          <w:szCs w:val="25"/>
        </w:rPr>
        <w:t>16. In the result the writ petition succeeds and prayer (i) is granted. The notification No.26/2012-ST dated 20.06.2012 issued by the Government of India, Ministry of Finance (Department of Revenue) is quashed to the extent of the entry in serial No.8 thereof. The writ petition is allowed with no order as to costs.</w:t>
      </w:r>
    </w:p>
    <w:p w:rsidR="00875C94" w:rsidRPr="00875C94" w:rsidRDefault="00875C94" w:rsidP="00875C94">
      <w:pPr>
        <w:shd w:val="clear" w:color="auto" w:fill="FFFFFF"/>
        <w:spacing w:before="100" w:beforeAutospacing="1" w:after="100" w:afterAutospacing="1" w:line="386" w:lineRule="atLeast"/>
        <w:jc w:val="both"/>
        <w:rPr>
          <w:rFonts w:ascii="Georgia" w:eastAsia="Times New Roman" w:hAnsi="Georgia" w:cs="Times New Roman"/>
          <w:color w:val="000000"/>
          <w:sz w:val="25"/>
          <w:szCs w:val="25"/>
        </w:rPr>
      </w:pPr>
      <w:r w:rsidRPr="00875C94">
        <w:rPr>
          <w:rFonts w:ascii="Georgia" w:eastAsia="Times New Roman" w:hAnsi="Georgia" w:cs="Times New Roman"/>
          <w:color w:val="000000"/>
          <w:sz w:val="25"/>
          <w:szCs w:val="25"/>
        </w:rPr>
        <w:t>R.V.EASWAR, J</w:t>
      </w:r>
    </w:p>
    <w:p w:rsidR="00875C94" w:rsidRPr="00875C94" w:rsidRDefault="00875C94" w:rsidP="00875C94">
      <w:pPr>
        <w:shd w:val="clear" w:color="auto" w:fill="FFFFFF"/>
        <w:spacing w:before="100" w:beforeAutospacing="1" w:after="100" w:afterAutospacing="1" w:line="386" w:lineRule="atLeast"/>
        <w:jc w:val="both"/>
        <w:rPr>
          <w:rFonts w:ascii="Georgia" w:eastAsia="Times New Roman" w:hAnsi="Georgia" w:cs="Times New Roman"/>
          <w:color w:val="000000"/>
          <w:sz w:val="25"/>
          <w:szCs w:val="25"/>
        </w:rPr>
      </w:pPr>
      <w:r w:rsidRPr="00875C94">
        <w:rPr>
          <w:rFonts w:ascii="Georgia" w:eastAsia="Times New Roman" w:hAnsi="Georgia" w:cs="Times New Roman"/>
          <w:color w:val="000000"/>
          <w:sz w:val="25"/>
          <w:szCs w:val="25"/>
        </w:rPr>
        <w:t>BADAR DURREZ AHMED, J</w:t>
      </w:r>
    </w:p>
    <w:p w:rsidR="00875C94" w:rsidRPr="00875C94" w:rsidRDefault="00875C94" w:rsidP="00875C94">
      <w:pPr>
        <w:shd w:val="clear" w:color="auto" w:fill="FFFFFF"/>
        <w:spacing w:before="100" w:beforeAutospacing="1" w:after="100" w:afterAutospacing="1" w:line="386" w:lineRule="atLeast"/>
        <w:jc w:val="both"/>
        <w:rPr>
          <w:rFonts w:ascii="Georgia" w:eastAsia="Times New Roman" w:hAnsi="Georgia" w:cs="Times New Roman"/>
          <w:color w:val="000000"/>
          <w:sz w:val="25"/>
          <w:szCs w:val="25"/>
        </w:rPr>
      </w:pPr>
      <w:r w:rsidRPr="00875C94">
        <w:rPr>
          <w:rFonts w:ascii="Georgia" w:eastAsia="Times New Roman" w:hAnsi="Georgia" w:cs="Times New Roman"/>
          <w:color w:val="000000"/>
          <w:sz w:val="25"/>
          <w:szCs w:val="25"/>
        </w:rPr>
        <w:t>APRIL 23, 2013</w:t>
      </w:r>
    </w:p>
    <w:p w:rsidR="00875C94" w:rsidRPr="00875C94" w:rsidRDefault="00875C94" w:rsidP="00875C94">
      <w:pPr>
        <w:shd w:val="clear" w:color="auto" w:fill="FFFFFF"/>
        <w:spacing w:before="100" w:beforeAutospacing="1" w:after="100" w:afterAutospacing="1" w:line="386" w:lineRule="atLeast"/>
        <w:jc w:val="both"/>
        <w:rPr>
          <w:rFonts w:ascii="Georgia" w:eastAsia="Times New Roman" w:hAnsi="Georgia" w:cs="Times New Roman"/>
          <w:color w:val="000000"/>
          <w:sz w:val="25"/>
          <w:szCs w:val="25"/>
        </w:rPr>
      </w:pPr>
      <w:r w:rsidRPr="00875C94">
        <w:rPr>
          <w:rFonts w:ascii="Georgia" w:eastAsia="Times New Roman" w:hAnsi="Georgia" w:cs="Times New Roman"/>
          <w:color w:val="000000"/>
          <w:sz w:val="25"/>
          <w:szCs w:val="25"/>
        </w:rPr>
        <w:t>hs</w:t>
      </w:r>
    </w:p>
    <w:p w:rsidR="00875C94" w:rsidRPr="00875C94" w:rsidRDefault="00875C94" w:rsidP="00875C94">
      <w:pPr>
        <w:shd w:val="clear" w:color="auto" w:fill="FFFFFF"/>
        <w:spacing w:before="100" w:beforeAutospacing="1" w:after="100" w:afterAutospacing="1" w:line="386" w:lineRule="atLeast"/>
        <w:jc w:val="both"/>
        <w:rPr>
          <w:rFonts w:ascii="Georgia" w:eastAsia="Times New Roman" w:hAnsi="Georgia" w:cs="Times New Roman"/>
          <w:color w:val="000000"/>
          <w:sz w:val="25"/>
          <w:szCs w:val="25"/>
        </w:rPr>
      </w:pPr>
      <w:r w:rsidRPr="00875C94">
        <w:rPr>
          <w:rFonts w:ascii="Georgia" w:eastAsia="Times New Roman" w:hAnsi="Georgia" w:cs="Times New Roman"/>
          <w:color w:val="000000"/>
          <w:sz w:val="25"/>
          <w:szCs w:val="25"/>
        </w:rPr>
        <w:t>W.P. (C) 4512/2012 Page 19 of 19</w:t>
      </w:r>
    </w:p>
    <w:p w:rsidR="00343E66" w:rsidRDefault="00343E66"/>
    <w:sectPr w:rsidR="00343E66" w:rsidSect="00343E6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efaultTabStop w:val="720"/>
  <w:characterSpacingControl w:val="doNotCompress"/>
  <w:compat/>
  <w:rsids>
    <w:rsidRoot w:val="00875C94"/>
    <w:rsid w:val="00343E66"/>
    <w:rsid w:val="004C0480"/>
    <w:rsid w:val="00875C9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3E6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75C9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875C94"/>
  </w:style>
  <w:style w:type="character" w:styleId="Hyperlink">
    <w:name w:val="Hyperlink"/>
    <w:basedOn w:val="DefaultParagraphFont"/>
    <w:uiPriority w:val="99"/>
    <w:semiHidden/>
    <w:unhideWhenUsed/>
    <w:rsid w:val="00875C94"/>
    <w:rPr>
      <w:color w:val="0000FF"/>
      <w:u w:val="single"/>
    </w:rPr>
  </w:style>
</w:styles>
</file>

<file path=word/webSettings.xml><?xml version="1.0" encoding="utf-8"?>
<w:webSettings xmlns:r="http://schemas.openxmlformats.org/officeDocument/2006/relationships" xmlns:w="http://schemas.openxmlformats.org/wordprocessingml/2006/main">
  <w:divs>
    <w:div w:id="1478952899">
      <w:bodyDiv w:val="1"/>
      <w:marLeft w:val="0"/>
      <w:marRight w:val="0"/>
      <w:marTop w:val="0"/>
      <w:marBottom w:val="0"/>
      <w:divBdr>
        <w:top w:val="none" w:sz="0" w:space="0" w:color="auto"/>
        <w:left w:val="none" w:sz="0" w:space="0" w:color="auto"/>
        <w:bottom w:val="none" w:sz="0" w:space="0" w:color="auto"/>
        <w:right w:val="none" w:sz="0" w:space="0" w:color="auto"/>
      </w:divBdr>
      <w:divsChild>
        <w:div w:id="451020449">
          <w:marLeft w:val="0"/>
          <w:marRight w:val="0"/>
          <w:marTop w:val="0"/>
          <w:marBottom w:val="158"/>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indiankanoon.org/doc/782825/" TargetMode="External"/><Relationship Id="rId4" Type="http://schemas.openxmlformats.org/officeDocument/2006/relationships/hyperlink" Target="http://www.indiankanoon.org/doc/144929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13</Pages>
  <Words>3778</Words>
  <Characters>21539</Characters>
  <Application>Microsoft Office Word</Application>
  <DocSecurity>0</DocSecurity>
  <Lines>179</Lines>
  <Paragraphs>50</Paragraphs>
  <ScaleCrop>false</ScaleCrop>
  <Company/>
  <LinksUpToDate>false</LinksUpToDate>
  <CharactersWithSpaces>25267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office</dc:creator>
  <cp:lastModifiedBy>office</cp:lastModifiedBy>
  <cp:revision>2</cp:revision>
  <dcterms:created xsi:type="dcterms:W3CDTF">2013-12-09T09:13:00Z</dcterms:created>
  <dcterms:modified xsi:type="dcterms:W3CDTF">2013-12-09T09:30:00Z</dcterms:modified>
</cp:coreProperties>
</file>